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6219906f6ef4fc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47A32" w14:textId="77777777" w:rsidR="002D6782" w:rsidRPr="002D6782" w:rsidRDefault="002D6782" w:rsidP="002D6782">
      <w:pPr>
        <w:spacing w:after="0" w:line="240" w:lineRule="auto"/>
        <w:rPr>
          <w:rFonts w:ascii="Arial" w:eastAsia="Times New Roman" w:hAnsi="Arial" w:cs="Arial"/>
          <w:b/>
          <w:sz w:val="28"/>
          <w:szCs w:val="28"/>
          <w:lang w:eastAsia="en-GB"/>
        </w:rPr>
      </w:pPr>
      <w:r>
        <w:rPr>
          <w:rFonts w:ascii="Arial" w:eastAsia="Times New Roman" w:hAnsi="Arial" w:cs="Arial"/>
          <w:b/>
          <w:color w:val="000000"/>
          <w:sz w:val="28"/>
          <w:szCs w:val="28"/>
          <w:lang w:eastAsia="en-GB"/>
        </w:rPr>
        <w:t>Welfare R</w:t>
      </w:r>
      <w:r w:rsidRPr="002D6782">
        <w:rPr>
          <w:rFonts w:ascii="Arial" w:eastAsia="Times New Roman" w:hAnsi="Arial" w:cs="Arial"/>
          <w:b/>
          <w:color w:val="000000"/>
          <w:sz w:val="28"/>
          <w:szCs w:val="28"/>
          <w:lang w:eastAsia="en-GB"/>
        </w:rPr>
        <w:t>eform</w:t>
      </w:r>
      <w:r>
        <w:rPr>
          <w:rFonts w:ascii="Arial" w:eastAsia="Times New Roman" w:hAnsi="Arial" w:cs="Arial"/>
          <w:b/>
          <w:color w:val="000000"/>
          <w:sz w:val="28"/>
          <w:szCs w:val="28"/>
          <w:lang w:eastAsia="en-GB"/>
        </w:rPr>
        <w:t xml:space="preserve"> U</w:t>
      </w:r>
      <w:r w:rsidRPr="002D6782">
        <w:rPr>
          <w:rFonts w:ascii="Arial" w:eastAsia="Times New Roman" w:hAnsi="Arial" w:cs="Arial"/>
          <w:b/>
          <w:color w:val="000000"/>
          <w:sz w:val="28"/>
          <w:szCs w:val="28"/>
          <w:lang w:eastAsia="en-GB"/>
        </w:rPr>
        <w:t>pdate</w:t>
      </w:r>
    </w:p>
    <w:p w14:paraId="1BA47A33" w14:textId="77777777" w:rsidR="002D6782" w:rsidRPr="002D6782" w:rsidRDefault="002D6782" w:rsidP="002D6782">
      <w:pPr>
        <w:spacing w:after="0" w:line="280" w:lineRule="exact"/>
        <w:rPr>
          <w:rFonts w:ascii="Arial" w:eastAsia="Times New Roman" w:hAnsi="Arial" w:cs="Arial"/>
          <w:b/>
          <w:lang w:eastAsia="en-GB"/>
        </w:rPr>
      </w:pPr>
    </w:p>
    <w:p w14:paraId="1BA47A34" w14:textId="77777777" w:rsidR="002D6782" w:rsidRPr="002D6782" w:rsidRDefault="002D6782" w:rsidP="002D6782">
      <w:pPr>
        <w:spacing w:after="0" w:line="280" w:lineRule="exact"/>
        <w:rPr>
          <w:rFonts w:ascii="Arial" w:eastAsia="Times New Roman" w:hAnsi="Arial" w:cs="Arial"/>
          <w:b/>
          <w:lang w:eastAsia="en-GB"/>
        </w:rPr>
      </w:pPr>
    </w:p>
    <w:p w14:paraId="1BA47A35" w14:textId="77777777" w:rsidR="002D6782" w:rsidRPr="002D6782" w:rsidRDefault="002D6782" w:rsidP="002D6782">
      <w:pPr>
        <w:spacing w:after="0" w:line="280" w:lineRule="exact"/>
        <w:rPr>
          <w:rFonts w:ascii="Arial" w:eastAsia="Times New Roman" w:hAnsi="Arial" w:cs="Arial"/>
          <w:b/>
          <w:lang w:eastAsia="en-GB"/>
        </w:rPr>
      </w:pPr>
      <w:r w:rsidRPr="002D6782">
        <w:rPr>
          <w:rFonts w:ascii="Arial" w:eastAsia="Times New Roman" w:hAnsi="Arial" w:cs="Arial"/>
          <w:b/>
          <w:lang w:eastAsia="en-GB"/>
        </w:rPr>
        <w:t>Purpose of report</w:t>
      </w:r>
    </w:p>
    <w:p w14:paraId="1BA47A36" w14:textId="77777777" w:rsidR="002D6782" w:rsidRPr="002D6782" w:rsidRDefault="002D6782" w:rsidP="002D6782">
      <w:pPr>
        <w:spacing w:after="0" w:line="280" w:lineRule="exact"/>
        <w:rPr>
          <w:rFonts w:ascii="Arial" w:eastAsia="Times New Roman" w:hAnsi="Arial" w:cs="Arial"/>
          <w:lang w:eastAsia="en-GB"/>
        </w:rPr>
      </w:pPr>
    </w:p>
    <w:p w14:paraId="1BA47A37" w14:textId="77777777" w:rsidR="002D6782" w:rsidRPr="002D6782" w:rsidRDefault="002D6782" w:rsidP="002D6782">
      <w:pPr>
        <w:spacing w:after="0" w:line="280" w:lineRule="exact"/>
        <w:rPr>
          <w:rFonts w:ascii="Arial" w:eastAsia="Times New Roman" w:hAnsi="Arial" w:cs="Arial"/>
          <w:lang w:eastAsia="en-GB"/>
        </w:rPr>
      </w:pPr>
      <w:proofErr w:type="gramStart"/>
      <w:r w:rsidRPr="002D6782">
        <w:rPr>
          <w:rFonts w:ascii="Arial" w:eastAsia="Times New Roman" w:hAnsi="Arial" w:cs="Arial"/>
          <w:lang w:eastAsia="en-GB"/>
        </w:rPr>
        <w:t>For discussion.</w:t>
      </w:r>
      <w:proofErr w:type="gramEnd"/>
    </w:p>
    <w:p w14:paraId="1BA47A38" w14:textId="77777777" w:rsidR="002D6782" w:rsidRPr="002D6782" w:rsidRDefault="002D6782" w:rsidP="002D6782">
      <w:pPr>
        <w:spacing w:after="0" w:line="280" w:lineRule="exact"/>
        <w:rPr>
          <w:rFonts w:ascii="Arial" w:eastAsia="Times New Roman" w:hAnsi="Arial" w:cs="Arial"/>
          <w:b/>
          <w:lang w:eastAsia="en-GB"/>
        </w:rPr>
      </w:pPr>
    </w:p>
    <w:p w14:paraId="1BA47A39" w14:textId="77777777" w:rsidR="002D6782" w:rsidRPr="002D6782" w:rsidRDefault="002D6782" w:rsidP="002D6782">
      <w:pPr>
        <w:spacing w:after="0" w:line="280" w:lineRule="exact"/>
        <w:rPr>
          <w:rFonts w:ascii="Arial" w:eastAsia="Times New Roman" w:hAnsi="Arial" w:cs="Arial"/>
          <w:lang w:eastAsia="en-GB"/>
        </w:rPr>
      </w:pPr>
      <w:r w:rsidRPr="002D6782">
        <w:rPr>
          <w:rFonts w:ascii="Arial" w:eastAsia="Times New Roman" w:hAnsi="Arial" w:cs="Arial"/>
          <w:b/>
          <w:lang w:eastAsia="en-GB"/>
        </w:rPr>
        <w:t>Summary</w:t>
      </w:r>
    </w:p>
    <w:p w14:paraId="1BA47A3A" w14:textId="77777777" w:rsidR="002D6782" w:rsidRPr="002D6782" w:rsidRDefault="002D6782" w:rsidP="002D6782">
      <w:pPr>
        <w:spacing w:after="0" w:line="280" w:lineRule="exact"/>
        <w:rPr>
          <w:rFonts w:ascii="Arial" w:eastAsia="Times New Roman" w:hAnsi="Arial" w:cs="Arial"/>
          <w:color w:val="FF0000"/>
          <w:lang w:eastAsia="en-GB"/>
        </w:rPr>
      </w:pPr>
    </w:p>
    <w:p w14:paraId="1BA47A3B" w14:textId="77777777" w:rsidR="002D6782" w:rsidRPr="002D6782" w:rsidRDefault="002D6782" w:rsidP="002D6782">
      <w:pPr>
        <w:spacing w:after="0" w:line="240" w:lineRule="auto"/>
        <w:rPr>
          <w:rFonts w:ascii="Arial" w:eastAsia="Times New Roman" w:hAnsi="Arial" w:cs="Arial"/>
          <w:szCs w:val="20"/>
          <w:lang w:eastAsia="en-GB"/>
        </w:rPr>
      </w:pPr>
      <w:r w:rsidRPr="002D6782">
        <w:rPr>
          <w:rFonts w:ascii="Arial" w:eastAsia="Times New Roman" w:hAnsi="Arial" w:cs="Arial"/>
          <w:szCs w:val="20"/>
          <w:lang w:eastAsia="en-GB"/>
        </w:rPr>
        <w:t>This report updates Members on the latest developments on welfare reform.</w:t>
      </w:r>
    </w:p>
    <w:p w14:paraId="1BA47A3C" w14:textId="77777777" w:rsidR="002D6782" w:rsidRPr="002D6782" w:rsidRDefault="002D6782" w:rsidP="002D6782">
      <w:pPr>
        <w:spacing w:after="0" w:line="280" w:lineRule="exact"/>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2D6782" w:rsidRPr="002D6782" w14:paraId="1BA47A46" w14:textId="77777777" w:rsidTr="00F95C38">
        <w:tc>
          <w:tcPr>
            <w:tcW w:w="9157" w:type="dxa"/>
          </w:tcPr>
          <w:p w14:paraId="1BA47A3D" w14:textId="77777777" w:rsidR="002D6782" w:rsidRPr="002D6782" w:rsidRDefault="002D6782" w:rsidP="002D6782">
            <w:pPr>
              <w:spacing w:after="0" w:line="280" w:lineRule="exact"/>
              <w:rPr>
                <w:rFonts w:ascii="Arial" w:eastAsia="Times New Roman" w:hAnsi="Arial" w:cs="Arial"/>
                <w:b/>
                <w:lang w:eastAsia="en-GB"/>
              </w:rPr>
            </w:pPr>
          </w:p>
          <w:p w14:paraId="1BA47A3E" w14:textId="77777777" w:rsidR="002D6782" w:rsidRPr="002D6782" w:rsidRDefault="002D6782" w:rsidP="002D6782">
            <w:pPr>
              <w:spacing w:after="0" w:line="280" w:lineRule="exact"/>
              <w:rPr>
                <w:rFonts w:ascii="Arial" w:eastAsia="Times New Roman" w:hAnsi="Arial" w:cs="Arial"/>
                <w:b/>
                <w:lang w:eastAsia="en-GB"/>
              </w:rPr>
            </w:pPr>
            <w:r w:rsidRPr="002D6782">
              <w:rPr>
                <w:rFonts w:ascii="Arial" w:eastAsia="Times New Roman" w:hAnsi="Arial" w:cs="Arial"/>
                <w:b/>
                <w:lang w:eastAsia="en-GB"/>
              </w:rPr>
              <w:t>Recommendation</w:t>
            </w:r>
          </w:p>
          <w:p w14:paraId="1BA47A3F" w14:textId="77777777" w:rsidR="002D6782" w:rsidRPr="002D6782" w:rsidRDefault="002D6782" w:rsidP="002D6782">
            <w:pPr>
              <w:spacing w:after="0" w:line="240" w:lineRule="auto"/>
              <w:rPr>
                <w:rFonts w:ascii="Arial" w:eastAsia="Times New Roman" w:hAnsi="Arial" w:cs="Arial"/>
                <w:szCs w:val="20"/>
                <w:lang w:eastAsia="en-GB"/>
              </w:rPr>
            </w:pPr>
          </w:p>
          <w:p w14:paraId="1BA47A40" w14:textId="77777777" w:rsidR="002D6782" w:rsidRPr="002D6782" w:rsidRDefault="002D6782" w:rsidP="002D6782">
            <w:pPr>
              <w:spacing w:after="0" w:line="240" w:lineRule="auto"/>
              <w:rPr>
                <w:rFonts w:ascii="Arial" w:eastAsia="Times New Roman" w:hAnsi="Arial" w:cs="Arial"/>
                <w:szCs w:val="20"/>
                <w:lang w:eastAsia="en-GB"/>
              </w:rPr>
            </w:pPr>
            <w:r w:rsidRPr="002D6782">
              <w:rPr>
                <w:rFonts w:ascii="Arial" w:eastAsia="Times New Roman" w:hAnsi="Arial" w:cs="Arial"/>
                <w:szCs w:val="20"/>
                <w:lang w:eastAsia="en-GB"/>
              </w:rPr>
              <w:t>That Resources Board note the update and offer any further steer on the issues covered.</w:t>
            </w:r>
          </w:p>
          <w:p w14:paraId="1BA47A41" w14:textId="77777777" w:rsidR="002D6782" w:rsidRPr="002D6782" w:rsidRDefault="002D6782" w:rsidP="002D6782">
            <w:pPr>
              <w:spacing w:after="0" w:line="240" w:lineRule="auto"/>
              <w:rPr>
                <w:rFonts w:ascii="Arial" w:eastAsia="Times New Roman" w:hAnsi="Arial" w:cs="Arial"/>
                <w:szCs w:val="20"/>
                <w:lang w:eastAsia="en-GB"/>
              </w:rPr>
            </w:pPr>
          </w:p>
          <w:p w14:paraId="1BA47A42" w14:textId="77777777" w:rsidR="002D6782" w:rsidRPr="002D6782" w:rsidRDefault="002D6782" w:rsidP="002D6782">
            <w:pPr>
              <w:spacing w:after="0" w:line="240" w:lineRule="auto"/>
              <w:rPr>
                <w:rFonts w:ascii="Arial" w:eastAsia="Times New Roman" w:hAnsi="Arial" w:cs="Arial"/>
                <w:b/>
                <w:szCs w:val="20"/>
                <w:lang w:eastAsia="en-GB"/>
              </w:rPr>
            </w:pPr>
            <w:r w:rsidRPr="002D6782">
              <w:rPr>
                <w:rFonts w:ascii="Arial" w:eastAsia="Times New Roman" w:hAnsi="Arial" w:cs="Arial"/>
                <w:b/>
                <w:szCs w:val="20"/>
                <w:lang w:eastAsia="en-GB"/>
              </w:rPr>
              <w:t>Action</w:t>
            </w:r>
          </w:p>
          <w:p w14:paraId="1BA47A43" w14:textId="77777777" w:rsidR="002D6782" w:rsidRPr="002D6782" w:rsidRDefault="002D6782" w:rsidP="002D6782">
            <w:pPr>
              <w:spacing w:after="0" w:line="240" w:lineRule="auto"/>
              <w:rPr>
                <w:rFonts w:ascii="Arial" w:eastAsia="Times New Roman" w:hAnsi="Arial" w:cs="Arial"/>
                <w:b/>
                <w:szCs w:val="20"/>
                <w:lang w:eastAsia="en-GB"/>
              </w:rPr>
            </w:pPr>
          </w:p>
          <w:p w14:paraId="1BA47A44" w14:textId="77777777" w:rsidR="002D6782" w:rsidRPr="002D6782" w:rsidRDefault="002D6782" w:rsidP="002D6782">
            <w:pPr>
              <w:spacing w:after="0" w:line="240" w:lineRule="auto"/>
              <w:rPr>
                <w:rFonts w:ascii="Arial" w:eastAsia="Times New Roman" w:hAnsi="Arial" w:cs="Arial"/>
                <w:szCs w:val="20"/>
                <w:lang w:eastAsia="en-GB"/>
              </w:rPr>
            </w:pPr>
            <w:r w:rsidRPr="002D6782">
              <w:rPr>
                <w:rFonts w:ascii="Arial" w:eastAsia="Times New Roman" w:hAnsi="Arial" w:cs="Arial"/>
                <w:szCs w:val="20"/>
                <w:lang w:eastAsia="en-GB"/>
              </w:rPr>
              <w:t xml:space="preserve">Officers to take forward in line with Members’ direction. </w:t>
            </w:r>
          </w:p>
          <w:p w14:paraId="1BA47A45" w14:textId="77777777" w:rsidR="002D6782" w:rsidRPr="002D6782" w:rsidRDefault="002D6782" w:rsidP="002D6782">
            <w:pPr>
              <w:spacing w:after="0" w:line="280" w:lineRule="exact"/>
              <w:rPr>
                <w:rFonts w:ascii="Arial" w:eastAsia="Times New Roman" w:hAnsi="Arial" w:cs="Arial"/>
                <w:b/>
                <w:lang w:eastAsia="en-GB"/>
              </w:rPr>
            </w:pPr>
          </w:p>
        </w:tc>
      </w:tr>
    </w:tbl>
    <w:p w14:paraId="1BA47A47" w14:textId="77777777" w:rsidR="002D6782" w:rsidRPr="002D6782" w:rsidRDefault="002D6782" w:rsidP="002D6782">
      <w:pPr>
        <w:spacing w:after="0" w:line="280" w:lineRule="exact"/>
        <w:rPr>
          <w:rFonts w:ascii="Arial" w:eastAsia="Times New Roman" w:hAnsi="Arial" w:cs="Arial"/>
          <w:lang w:eastAsia="en-GB"/>
        </w:rPr>
      </w:pPr>
    </w:p>
    <w:tbl>
      <w:tblPr>
        <w:tblW w:w="0" w:type="auto"/>
        <w:tblLook w:val="01E0" w:firstRow="1" w:lastRow="1" w:firstColumn="1" w:lastColumn="1" w:noHBand="0" w:noVBand="0"/>
      </w:tblPr>
      <w:tblGrid>
        <w:gridCol w:w="2802"/>
        <w:gridCol w:w="6378"/>
      </w:tblGrid>
      <w:tr w:rsidR="002D6782" w:rsidRPr="002D6782" w14:paraId="1BA47A4A" w14:textId="77777777" w:rsidTr="00F95C38">
        <w:tc>
          <w:tcPr>
            <w:tcW w:w="2802" w:type="dxa"/>
            <w:shd w:val="clear" w:color="auto" w:fill="auto"/>
          </w:tcPr>
          <w:p w14:paraId="1BA47A48" w14:textId="77777777" w:rsidR="002D6782" w:rsidRPr="002D6782" w:rsidRDefault="002D6782" w:rsidP="002D6782">
            <w:pPr>
              <w:spacing w:before="120" w:after="0" w:line="240" w:lineRule="auto"/>
              <w:rPr>
                <w:rFonts w:ascii="Arial" w:eastAsia="Times New Roman" w:hAnsi="Arial" w:cs="Arial"/>
                <w:lang w:eastAsia="en-GB"/>
              </w:rPr>
            </w:pPr>
            <w:bookmarkStart w:id="0" w:name="DocBackground"/>
            <w:bookmarkEnd w:id="0"/>
            <w:r w:rsidRPr="002D6782">
              <w:rPr>
                <w:rFonts w:ascii="Arial" w:eastAsia="Times New Roman" w:hAnsi="Arial" w:cs="Arial"/>
                <w:b/>
                <w:lang w:eastAsia="en-GB"/>
              </w:rPr>
              <w:t>Contact officer:</w:t>
            </w:r>
            <w:r w:rsidRPr="002D6782">
              <w:rPr>
                <w:rFonts w:ascii="Arial" w:eastAsia="Times New Roman" w:hAnsi="Arial" w:cs="Arial"/>
                <w:lang w:eastAsia="en-GB"/>
              </w:rPr>
              <w:t xml:space="preserve"> </w:t>
            </w:r>
          </w:p>
        </w:tc>
        <w:tc>
          <w:tcPr>
            <w:tcW w:w="6378" w:type="dxa"/>
            <w:shd w:val="clear" w:color="auto" w:fill="auto"/>
          </w:tcPr>
          <w:p w14:paraId="1BA47A49" w14:textId="77777777" w:rsidR="002D6782" w:rsidRPr="002D6782" w:rsidRDefault="002D6782" w:rsidP="002D6782">
            <w:pPr>
              <w:spacing w:before="120" w:after="0" w:line="240" w:lineRule="auto"/>
              <w:rPr>
                <w:rFonts w:ascii="Arial" w:eastAsia="Times New Roman" w:hAnsi="Arial" w:cs="Arial"/>
                <w:lang w:eastAsia="en-GB"/>
              </w:rPr>
            </w:pPr>
            <w:r w:rsidRPr="002D6782">
              <w:rPr>
                <w:rFonts w:ascii="Arial" w:eastAsia="Times New Roman" w:hAnsi="Arial" w:cs="Arial"/>
                <w:lang w:eastAsia="en-GB"/>
              </w:rPr>
              <w:t>Dan McCartney</w:t>
            </w:r>
          </w:p>
        </w:tc>
      </w:tr>
      <w:tr w:rsidR="002D6782" w:rsidRPr="002D6782" w14:paraId="1BA47A4D" w14:textId="77777777" w:rsidTr="00F95C38">
        <w:tc>
          <w:tcPr>
            <w:tcW w:w="2802" w:type="dxa"/>
            <w:shd w:val="clear" w:color="auto" w:fill="auto"/>
          </w:tcPr>
          <w:p w14:paraId="1BA47A4B" w14:textId="77777777" w:rsidR="002D6782" w:rsidRPr="002D6782" w:rsidRDefault="002D6782" w:rsidP="002D6782">
            <w:pPr>
              <w:spacing w:before="120" w:after="0" w:line="240" w:lineRule="auto"/>
              <w:rPr>
                <w:rFonts w:ascii="Arial" w:eastAsia="Times New Roman" w:hAnsi="Arial" w:cs="Arial"/>
                <w:b/>
                <w:lang w:eastAsia="en-GB"/>
              </w:rPr>
            </w:pPr>
            <w:r w:rsidRPr="002D6782">
              <w:rPr>
                <w:rFonts w:ascii="Arial" w:eastAsia="Times New Roman" w:hAnsi="Arial" w:cs="Arial"/>
                <w:b/>
                <w:lang w:eastAsia="en-GB"/>
              </w:rPr>
              <w:t>Position:</w:t>
            </w:r>
          </w:p>
        </w:tc>
        <w:tc>
          <w:tcPr>
            <w:tcW w:w="6378" w:type="dxa"/>
            <w:shd w:val="clear" w:color="auto" w:fill="auto"/>
          </w:tcPr>
          <w:p w14:paraId="1BA47A4C" w14:textId="77777777" w:rsidR="002D6782" w:rsidRPr="002D6782" w:rsidRDefault="002D6782" w:rsidP="002D6782">
            <w:pPr>
              <w:spacing w:before="120" w:after="0" w:line="240" w:lineRule="auto"/>
              <w:rPr>
                <w:rFonts w:ascii="Arial" w:eastAsia="Times New Roman" w:hAnsi="Arial" w:cs="Arial"/>
                <w:lang w:eastAsia="en-GB"/>
              </w:rPr>
            </w:pPr>
            <w:r w:rsidRPr="002D6782">
              <w:rPr>
                <w:rFonts w:ascii="Arial" w:eastAsia="Times New Roman" w:hAnsi="Arial" w:cs="Arial"/>
                <w:lang w:eastAsia="en-GB"/>
              </w:rPr>
              <w:t>Adviser</w:t>
            </w:r>
          </w:p>
        </w:tc>
      </w:tr>
      <w:tr w:rsidR="002D6782" w:rsidRPr="002D6782" w14:paraId="1BA47A50" w14:textId="77777777" w:rsidTr="00F95C38">
        <w:tc>
          <w:tcPr>
            <w:tcW w:w="2802" w:type="dxa"/>
            <w:shd w:val="clear" w:color="auto" w:fill="auto"/>
          </w:tcPr>
          <w:p w14:paraId="1BA47A4E" w14:textId="77777777" w:rsidR="002D6782" w:rsidRPr="002D6782" w:rsidRDefault="002D6782" w:rsidP="002D6782">
            <w:pPr>
              <w:spacing w:before="120" w:after="0" w:line="240" w:lineRule="auto"/>
              <w:rPr>
                <w:rFonts w:ascii="Arial" w:eastAsia="Times New Roman" w:hAnsi="Arial" w:cs="Arial"/>
                <w:b/>
                <w:lang w:eastAsia="en-GB"/>
              </w:rPr>
            </w:pPr>
            <w:r w:rsidRPr="002D6782">
              <w:rPr>
                <w:rFonts w:ascii="Arial" w:eastAsia="Times New Roman" w:hAnsi="Arial" w:cs="Arial"/>
                <w:b/>
                <w:lang w:eastAsia="en-GB"/>
              </w:rPr>
              <w:t>Phone no:</w:t>
            </w:r>
          </w:p>
        </w:tc>
        <w:tc>
          <w:tcPr>
            <w:tcW w:w="6378" w:type="dxa"/>
            <w:shd w:val="clear" w:color="auto" w:fill="auto"/>
          </w:tcPr>
          <w:p w14:paraId="1BA47A4F" w14:textId="77777777" w:rsidR="002D6782" w:rsidRPr="002D6782" w:rsidRDefault="002D6782" w:rsidP="002D6782">
            <w:pPr>
              <w:spacing w:before="120" w:after="0" w:line="240" w:lineRule="auto"/>
              <w:rPr>
                <w:rFonts w:ascii="Arial" w:eastAsia="Times New Roman" w:hAnsi="Arial" w:cs="Arial"/>
                <w:lang w:eastAsia="en-GB"/>
              </w:rPr>
            </w:pPr>
            <w:r w:rsidRPr="002D6782">
              <w:rPr>
                <w:rFonts w:ascii="Arial" w:eastAsia="Times New Roman" w:hAnsi="Arial" w:cs="Arial"/>
                <w:lang w:eastAsia="en-GB"/>
              </w:rPr>
              <w:t>020 7664 3238</w:t>
            </w:r>
          </w:p>
        </w:tc>
      </w:tr>
      <w:tr w:rsidR="002D6782" w:rsidRPr="002D6782" w14:paraId="1BA47A53" w14:textId="77777777" w:rsidTr="00F95C38">
        <w:trPr>
          <w:trHeight w:val="507"/>
        </w:trPr>
        <w:tc>
          <w:tcPr>
            <w:tcW w:w="2802" w:type="dxa"/>
            <w:shd w:val="clear" w:color="auto" w:fill="auto"/>
          </w:tcPr>
          <w:p w14:paraId="1BA47A51" w14:textId="77777777" w:rsidR="002D6782" w:rsidRPr="002D6782" w:rsidRDefault="002D6782" w:rsidP="002D6782">
            <w:pPr>
              <w:spacing w:before="120" w:after="0" w:line="240" w:lineRule="auto"/>
              <w:rPr>
                <w:rFonts w:ascii="Arial" w:eastAsia="Times New Roman" w:hAnsi="Arial" w:cs="Arial"/>
                <w:b/>
                <w:lang w:eastAsia="en-GB"/>
              </w:rPr>
            </w:pPr>
            <w:r w:rsidRPr="002D6782">
              <w:rPr>
                <w:rFonts w:ascii="Arial" w:eastAsia="Times New Roman" w:hAnsi="Arial" w:cs="Arial"/>
                <w:b/>
                <w:lang w:eastAsia="en-GB"/>
              </w:rPr>
              <w:t>Email:</w:t>
            </w:r>
          </w:p>
        </w:tc>
        <w:tc>
          <w:tcPr>
            <w:tcW w:w="6378" w:type="dxa"/>
            <w:shd w:val="clear" w:color="auto" w:fill="auto"/>
          </w:tcPr>
          <w:p w14:paraId="1BA47A52" w14:textId="77777777" w:rsidR="002D6782" w:rsidRPr="002D6782" w:rsidRDefault="00833B4B" w:rsidP="002D6782">
            <w:pPr>
              <w:spacing w:before="120" w:after="0" w:line="240" w:lineRule="auto"/>
              <w:rPr>
                <w:rFonts w:ascii="Arial" w:eastAsia="Times New Roman" w:hAnsi="Arial" w:cs="Arial"/>
                <w:lang w:eastAsia="en-GB"/>
              </w:rPr>
            </w:pPr>
            <w:hyperlink r:id="rId9" w:history="1">
              <w:r w:rsidR="002D6782" w:rsidRPr="002D6782">
                <w:rPr>
                  <w:rFonts w:ascii="Arial" w:eastAsia="Times New Roman" w:hAnsi="Arial" w:cs="Arial"/>
                  <w:color w:val="0000FF"/>
                  <w:u w:val="single"/>
                  <w:lang w:eastAsia="en-GB"/>
                </w:rPr>
                <w:t>dan.mccartney@local.gov.uk</w:t>
              </w:r>
            </w:hyperlink>
            <w:r w:rsidR="002D6782" w:rsidRPr="002D6782">
              <w:rPr>
                <w:rFonts w:ascii="Arial" w:eastAsia="Times New Roman" w:hAnsi="Arial" w:cs="Arial"/>
                <w:color w:val="000000"/>
                <w:lang w:eastAsia="en-GB"/>
              </w:rPr>
              <w:t xml:space="preserve">  </w:t>
            </w:r>
          </w:p>
        </w:tc>
      </w:tr>
    </w:tbl>
    <w:p w14:paraId="1BA47A54" w14:textId="77777777" w:rsidR="002D6782" w:rsidRPr="002D6782" w:rsidRDefault="002D6782" w:rsidP="002D6782">
      <w:pPr>
        <w:spacing w:before="240" w:after="240" w:line="280" w:lineRule="exact"/>
        <w:rPr>
          <w:rFonts w:ascii="Arial" w:eastAsia="Times New Roman" w:hAnsi="Arial" w:cs="Arial"/>
          <w:b/>
          <w:lang w:eastAsia="en-GB"/>
        </w:rPr>
      </w:pPr>
    </w:p>
    <w:p w14:paraId="1BA47A55" w14:textId="77777777" w:rsidR="002D6782" w:rsidRDefault="002D6782" w:rsidP="002D6782">
      <w:pPr>
        <w:spacing w:before="240" w:after="240" w:line="280" w:lineRule="exact"/>
        <w:rPr>
          <w:rFonts w:ascii="Arial" w:eastAsia="Times New Roman" w:hAnsi="Arial" w:cs="Arial"/>
          <w:b/>
          <w:sz w:val="28"/>
          <w:szCs w:val="28"/>
          <w:lang w:eastAsia="en-GB"/>
        </w:rPr>
      </w:pPr>
      <w:r w:rsidRPr="002D6782">
        <w:rPr>
          <w:rFonts w:ascii="Arial" w:eastAsia="Times New Roman" w:hAnsi="Arial" w:cs="Arial"/>
          <w:b/>
          <w:sz w:val="28"/>
          <w:szCs w:val="28"/>
          <w:lang w:eastAsia="en-GB"/>
        </w:rPr>
        <w:br w:type="page"/>
      </w:r>
    </w:p>
    <w:p w14:paraId="1BA47A56" w14:textId="77777777" w:rsidR="002D6782" w:rsidRPr="002D6782" w:rsidRDefault="002D6782" w:rsidP="002D6782">
      <w:pPr>
        <w:spacing w:after="0" w:line="240" w:lineRule="auto"/>
        <w:rPr>
          <w:rFonts w:ascii="Arial" w:eastAsia="Times New Roman" w:hAnsi="Arial" w:cs="Arial"/>
          <w:b/>
          <w:sz w:val="28"/>
          <w:szCs w:val="28"/>
          <w:lang w:eastAsia="en-GB"/>
        </w:rPr>
      </w:pPr>
      <w:r>
        <w:rPr>
          <w:rFonts w:ascii="Arial" w:eastAsia="Times New Roman" w:hAnsi="Arial" w:cs="Arial"/>
          <w:b/>
          <w:color w:val="000000"/>
          <w:sz w:val="28"/>
          <w:szCs w:val="28"/>
          <w:lang w:eastAsia="en-GB"/>
        </w:rPr>
        <w:lastRenderedPageBreak/>
        <w:t>Welfare R</w:t>
      </w:r>
      <w:r w:rsidRPr="002D6782">
        <w:rPr>
          <w:rFonts w:ascii="Arial" w:eastAsia="Times New Roman" w:hAnsi="Arial" w:cs="Arial"/>
          <w:b/>
          <w:color w:val="000000"/>
          <w:sz w:val="28"/>
          <w:szCs w:val="28"/>
          <w:lang w:eastAsia="en-GB"/>
        </w:rPr>
        <w:t>eform</w:t>
      </w:r>
      <w:r>
        <w:rPr>
          <w:rFonts w:ascii="Arial" w:eastAsia="Times New Roman" w:hAnsi="Arial" w:cs="Arial"/>
          <w:b/>
          <w:color w:val="000000"/>
          <w:sz w:val="28"/>
          <w:szCs w:val="28"/>
          <w:lang w:eastAsia="en-GB"/>
        </w:rPr>
        <w:t xml:space="preserve"> U</w:t>
      </w:r>
      <w:r w:rsidRPr="002D6782">
        <w:rPr>
          <w:rFonts w:ascii="Arial" w:eastAsia="Times New Roman" w:hAnsi="Arial" w:cs="Arial"/>
          <w:b/>
          <w:color w:val="000000"/>
          <w:sz w:val="28"/>
          <w:szCs w:val="28"/>
          <w:lang w:eastAsia="en-GB"/>
        </w:rPr>
        <w:t>pdate</w:t>
      </w:r>
    </w:p>
    <w:p w14:paraId="1BA47A57" w14:textId="77777777" w:rsidR="002D6782" w:rsidRDefault="002D6782" w:rsidP="002D6782">
      <w:pPr>
        <w:spacing w:after="0" w:line="240" w:lineRule="auto"/>
        <w:contextualSpacing/>
        <w:rPr>
          <w:rFonts w:ascii="Arial" w:eastAsia="Times New Roman" w:hAnsi="Arial" w:cs="Arial"/>
          <w:b/>
          <w:szCs w:val="20"/>
          <w:lang w:eastAsia="en-GB"/>
        </w:rPr>
      </w:pPr>
    </w:p>
    <w:p w14:paraId="1BA47A58" w14:textId="77777777" w:rsidR="002D6782" w:rsidRDefault="002D6782" w:rsidP="002D6782">
      <w:pPr>
        <w:spacing w:after="0" w:line="240" w:lineRule="auto"/>
        <w:contextualSpacing/>
        <w:rPr>
          <w:rFonts w:ascii="Arial" w:eastAsia="Times New Roman" w:hAnsi="Arial" w:cs="Arial"/>
          <w:b/>
          <w:szCs w:val="20"/>
          <w:lang w:eastAsia="en-GB"/>
        </w:rPr>
      </w:pPr>
    </w:p>
    <w:p w14:paraId="1BA47A59" w14:textId="77777777" w:rsidR="002D6782" w:rsidRPr="002D6782" w:rsidRDefault="002D6782" w:rsidP="00561503">
      <w:pPr>
        <w:spacing w:after="0" w:line="240" w:lineRule="auto"/>
        <w:contextualSpacing/>
        <w:rPr>
          <w:rFonts w:ascii="Arial" w:eastAsia="Times New Roman" w:hAnsi="Arial" w:cs="Arial"/>
          <w:b/>
          <w:szCs w:val="20"/>
          <w:lang w:eastAsia="en-GB"/>
        </w:rPr>
      </w:pPr>
      <w:r w:rsidRPr="002D6782">
        <w:rPr>
          <w:rFonts w:ascii="Arial" w:eastAsia="Times New Roman" w:hAnsi="Arial" w:cs="Arial"/>
          <w:b/>
          <w:szCs w:val="20"/>
          <w:lang w:eastAsia="en-GB"/>
        </w:rPr>
        <w:t>Local Welfare Assistance update</w:t>
      </w:r>
    </w:p>
    <w:p w14:paraId="1BA47A5A" w14:textId="77777777" w:rsidR="002D6782" w:rsidRPr="002D6782" w:rsidRDefault="002D6782" w:rsidP="00561503">
      <w:pPr>
        <w:spacing w:after="0" w:line="240" w:lineRule="auto"/>
        <w:rPr>
          <w:rFonts w:ascii="Arial" w:eastAsia="Times New Roman" w:hAnsi="Arial" w:cs="Arial"/>
          <w:b/>
          <w:color w:val="000000"/>
          <w:szCs w:val="20"/>
          <w:lang w:eastAsia="en-GB"/>
        </w:rPr>
      </w:pPr>
    </w:p>
    <w:p w14:paraId="1BA47A5B" w14:textId="77777777" w:rsidR="002D6782" w:rsidRPr="002D6782" w:rsidRDefault="002D6782" w:rsidP="00561503">
      <w:pPr>
        <w:spacing w:after="0" w:line="240" w:lineRule="auto"/>
        <w:ind w:firstLine="567"/>
        <w:rPr>
          <w:rFonts w:ascii="Arial" w:eastAsia="Times New Roman" w:hAnsi="Arial" w:cs="Arial"/>
          <w:b/>
          <w:lang w:eastAsia="en-GB"/>
        </w:rPr>
      </w:pPr>
      <w:r w:rsidRPr="002D6782">
        <w:rPr>
          <w:rFonts w:ascii="Arial" w:eastAsia="Times New Roman" w:hAnsi="Arial" w:cs="Arial"/>
          <w:b/>
          <w:lang w:eastAsia="en-GB"/>
        </w:rPr>
        <w:t>Background</w:t>
      </w:r>
    </w:p>
    <w:p w14:paraId="1BA47A5C" w14:textId="77777777" w:rsidR="002D6782" w:rsidRPr="002D6782" w:rsidRDefault="002D6782" w:rsidP="00561503">
      <w:pPr>
        <w:numPr>
          <w:ilvl w:val="0"/>
          <w:numId w:val="1"/>
        </w:numPr>
        <w:spacing w:after="0" w:line="240" w:lineRule="auto"/>
        <w:ind w:left="567"/>
        <w:contextualSpacing/>
        <w:rPr>
          <w:rFonts w:ascii="Arial" w:eastAsia="Times New Roman" w:hAnsi="Arial" w:cs="Arial"/>
          <w:szCs w:val="20"/>
          <w:lang w:eastAsia="en-GB"/>
        </w:rPr>
      </w:pPr>
      <w:r w:rsidRPr="002D6782">
        <w:rPr>
          <w:rFonts w:ascii="Arial" w:eastAsia="Times New Roman" w:hAnsi="Arial" w:cs="Arial"/>
          <w:lang w:eastAsia="en-GB"/>
        </w:rPr>
        <w:t>The Crisis Loans community support grants elements of the Social Fund were localised from 2012/13 as the Local Welfare Assistance fund. The government had indicated it would decide on funding for the third year of the Local Welfare Assistance fund (2015/16) based on a review of local welfare schemes. However a decision to remove funding as a distinct grant in 2015/16 was made before the review had been completed. This decision was the subject of legal challenge that required the government to publish the review and reach a new decision about future funding following a consultation.</w:t>
      </w:r>
    </w:p>
    <w:p w14:paraId="1BA47A5D" w14:textId="77777777" w:rsidR="002D6782" w:rsidRPr="002D6782" w:rsidRDefault="002D6782" w:rsidP="00561503">
      <w:pPr>
        <w:spacing w:after="0" w:line="240" w:lineRule="auto"/>
        <w:ind w:left="567"/>
        <w:contextualSpacing/>
        <w:rPr>
          <w:rFonts w:ascii="Arial" w:eastAsia="Times New Roman" w:hAnsi="Arial" w:cs="Arial"/>
          <w:lang w:eastAsia="en-GB"/>
        </w:rPr>
      </w:pPr>
    </w:p>
    <w:p w14:paraId="1BA47A5E" w14:textId="77777777" w:rsidR="002D6782" w:rsidRPr="002D6782" w:rsidRDefault="002D6782" w:rsidP="00561503">
      <w:pPr>
        <w:spacing w:after="0" w:line="240" w:lineRule="auto"/>
        <w:ind w:firstLine="567"/>
        <w:rPr>
          <w:rFonts w:ascii="Arial" w:eastAsia="Times New Roman" w:hAnsi="Arial" w:cs="Arial"/>
          <w:b/>
          <w:lang w:eastAsia="en-GB"/>
        </w:rPr>
      </w:pPr>
      <w:r w:rsidRPr="002D6782">
        <w:rPr>
          <w:rFonts w:ascii="Arial" w:eastAsia="Times New Roman" w:hAnsi="Arial" w:cs="Arial"/>
          <w:b/>
          <w:lang w:eastAsia="en-GB"/>
        </w:rPr>
        <w:t>Government review and consultation</w:t>
      </w:r>
    </w:p>
    <w:p w14:paraId="1BA47A5F" w14:textId="77777777" w:rsidR="002D6782" w:rsidRPr="002D6782" w:rsidRDefault="002D6782" w:rsidP="00561503">
      <w:pPr>
        <w:numPr>
          <w:ilvl w:val="0"/>
          <w:numId w:val="1"/>
        </w:numPr>
        <w:spacing w:after="0" w:line="240" w:lineRule="auto"/>
        <w:ind w:left="567"/>
        <w:contextualSpacing/>
        <w:rPr>
          <w:rFonts w:ascii="Arial" w:eastAsia="Times New Roman" w:hAnsi="Arial" w:cs="Arial"/>
          <w:lang w:eastAsia="en-GB"/>
        </w:rPr>
      </w:pPr>
      <w:r w:rsidRPr="002D6782">
        <w:rPr>
          <w:rFonts w:ascii="Arial" w:eastAsia="Times New Roman" w:hAnsi="Arial" w:cs="Arial"/>
          <w:lang w:eastAsia="en-GB"/>
        </w:rPr>
        <w:t>The Government has now published its review of local schemes</w:t>
      </w:r>
      <w:r w:rsidRPr="002D6782">
        <w:rPr>
          <w:rFonts w:ascii="Arial" w:eastAsia="Times New Roman" w:hAnsi="Arial" w:cs="Arial"/>
          <w:vertAlign w:val="superscript"/>
          <w:lang w:eastAsia="en-GB"/>
        </w:rPr>
        <w:footnoteReference w:id="1"/>
      </w:r>
      <w:r w:rsidRPr="002D6782">
        <w:rPr>
          <w:rFonts w:ascii="Arial" w:eastAsia="Times New Roman" w:hAnsi="Arial" w:cs="Arial"/>
          <w:lang w:eastAsia="en-GB"/>
        </w:rPr>
        <w:t xml:space="preserve"> and completed its consultation on funding in 2015/16. The LGA responded to the consultation in two ways: </w:t>
      </w:r>
    </w:p>
    <w:p w14:paraId="1BA47A60" w14:textId="77777777" w:rsidR="002D6782" w:rsidRPr="002D6782" w:rsidRDefault="002D6782" w:rsidP="00561503">
      <w:pPr>
        <w:spacing w:after="0" w:line="240" w:lineRule="auto"/>
        <w:ind w:left="567"/>
        <w:contextualSpacing/>
        <w:rPr>
          <w:rFonts w:ascii="Arial" w:eastAsia="Times New Roman" w:hAnsi="Arial" w:cs="Arial"/>
          <w:lang w:eastAsia="en-GB"/>
        </w:rPr>
      </w:pPr>
    </w:p>
    <w:p w14:paraId="1BA47A61" w14:textId="77777777" w:rsidR="002D6782" w:rsidRPr="002D6782" w:rsidRDefault="002D6782" w:rsidP="00561503">
      <w:pPr>
        <w:numPr>
          <w:ilvl w:val="0"/>
          <w:numId w:val="1"/>
        </w:numPr>
        <w:spacing w:after="0" w:line="240" w:lineRule="auto"/>
        <w:ind w:left="567"/>
        <w:contextualSpacing/>
        <w:rPr>
          <w:rFonts w:ascii="Arial" w:eastAsia="Times New Roman" w:hAnsi="Arial" w:cs="Arial"/>
          <w:lang w:eastAsia="en-GB"/>
        </w:rPr>
      </w:pPr>
      <w:r w:rsidRPr="002D6782">
        <w:rPr>
          <w:rFonts w:ascii="Arial" w:eastAsia="Times New Roman" w:hAnsi="Arial" w:cs="Arial"/>
          <w:lang w:eastAsia="en-GB"/>
        </w:rPr>
        <w:t xml:space="preserve">Firstly, through a formal consultation response </w:t>
      </w:r>
      <w:r w:rsidRPr="002D6782">
        <w:rPr>
          <w:rFonts w:ascii="Arial" w:eastAsia="Times New Roman" w:hAnsi="Arial" w:cs="Arial"/>
          <w:lang w:val="en" w:eastAsia="en-GB"/>
        </w:rPr>
        <w:t xml:space="preserve">highlighting the important role of local welfare assistance funding and the successful and innovative schemes councils have set up. The response outlines the impact that withdrawal of funding will have on vulnerable residents based on research that shows that three quarters of councils will scale back or cancel their schemes unless they are funded. As a result </w:t>
      </w:r>
      <w:r w:rsidRPr="002D6782">
        <w:rPr>
          <w:rFonts w:ascii="Arial" w:eastAsia="Times New Roman" w:hAnsi="Arial" w:cs="Arial"/>
          <w:b/>
          <w:lang w:val="en" w:eastAsia="en-GB"/>
        </w:rPr>
        <w:t>the LGA called for separately identifiable and additional funding in 2015/16 in order that councils can continue to provide this important safety net to residents in need.</w:t>
      </w:r>
      <w:r w:rsidRPr="002D6782">
        <w:rPr>
          <w:rFonts w:ascii="Arial" w:eastAsia="Times New Roman" w:hAnsi="Arial" w:cs="Arial"/>
          <w:b/>
          <w:vertAlign w:val="superscript"/>
          <w:lang w:val="en" w:eastAsia="en-GB"/>
        </w:rPr>
        <w:t xml:space="preserve"> </w:t>
      </w:r>
      <w:r w:rsidRPr="002D6782">
        <w:rPr>
          <w:rFonts w:ascii="Arial" w:eastAsia="Times New Roman" w:hAnsi="Arial" w:cs="Arial"/>
          <w:vertAlign w:val="superscript"/>
          <w:lang w:val="en" w:eastAsia="en-GB"/>
        </w:rPr>
        <w:footnoteReference w:id="2"/>
      </w:r>
    </w:p>
    <w:p w14:paraId="1BA47A62" w14:textId="77777777" w:rsidR="002D6782" w:rsidRPr="002D6782" w:rsidRDefault="002D6782" w:rsidP="00561503">
      <w:pPr>
        <w:spacing w:after="0" w:line="240" w:lineRule="auto"/>
        <w:ind w:left="567"/>
        <w:contextualSpacing/>
        <w:rPr>
          <w:rFonts w:ascii="Arial" w:eastAsia="Times New Roman" w:hAnsi="Arial" w:cs="Arial"/>
          <w:lang w:eastAsia="en-GB"/>
        </w:rPr>
      </w:pPr>
    </w:p>
    <w:p w14:paraId="1BA47A63" w14:textId="2643E7A5" w:rsidR="002D6782" w:rsidRPr="002D6782" w:rsidRDefault="002D6782" w:rsidP="00561503">
      <w:pPr>
        <w:numPr>
          <w:ilvl w:val="0"/>
          <w:numId w:val="1"/>
        </w:numPr>
        <w:spacing w:after="0" w:line="240" w:lineRule="auto"/>
        <w:ind w:left="567"/>
        <w:contextualSpacing/>
        <w:rPr>
          <w:rFonts w:ascii="Arial" w:eastAsia="Times New Roman" w:hAnsi="Arial" w:cs="Arial"/>
          <w:lang w:eastAsia="en-GB"/>
        </w:rPr>
      </w:pPr>
      <w:r w:rsidRPr="002D6782">
        <w:rPr>
          <w:rFonts w:ascii="Arial" w:eastAsia="Times New Roman" w:hAnsi="Arial" w:cs="Arial"/>
          <w:lang w:eastAsia="en-GB"/>
        </w:rPr>
        <w:t>The second intervention was to send a joint letter to ministers (</w:t>
      </w:r>
      <w:r w:rsidR="00D00D94">
        <w:rPr>
          <w:rFonts w:ascii="Arial" w:eastAsia="Times New Roman" w:hAnsi="Arial" w:cs="Arial"/>
          <w:lang w:eastAsia="en-GB"/>
        </w:rPr>
        <w:t>attached at</w:t>
      </w:r>
      <w:r w:rsidRPr="002D6782">
        <w:rPr>
          <w:rFonts w:ascii="Arial" w:eastAsia="Times New Roman" w:hAnsi="Arial" w:cs="Arial"/>
          <w:lang w:eastAsia="en-GB"/>
        </w:rPr>
        <w:t xml:space="preserve"> </w:t>
      </w:r>
      <w:r w:rsidR="00D00D94" w:rsidRPr="00D00D94">
        <w:rPr>
          <w:rFonts w:ascii="Arial" w:eastAsia="Times New Roman" w:hAnsi="Arial" w:cs="Arial"/>
          <w:b/>
          <w:u w:val="single"/>
          <w:lang w:eastAsia="en-GB"/>
        </w:rPr>
        <w:t>Appendix A</w:t>
      </w:r>
      <w:r w:rsidRPr="002D6782">
        <w:rPr>
          <w:rFonts w:ascii="Arial" w:eastAsia="Times New Roman" w:hAnsi="Arial" w:cs="Arial"/>
          <w:lang w:eastAsia="en-GB"/>
        </w:rPr>
        <w:t>) with a small group of charities (Child Poverty Action Group, Crisis and Children’s Society) to raise concerns and highlight the need for separately identifiable and additional funding in 2015/16.</w:t>
      </w:r>
    </w:p>
    <w:p w14:paraId="1BA47A64" w14:textId="77777777" w:rsidR="002D6782" w:rsidRPr="002D6782" w:rsidRDefault="002D6782" w:rsidP="00561503">
      <w:pPr>
        <w:spacing w:after="0" w:line="240" w:lineRule="auto"/>
        <w:contextualSpacing/>
        <w:rPr>
          <w:rFonts w:ascii="Arial" w:eastAsia="Times New Roman" w:hAnsi="Arial" w:cs="Arial"/>
          <w:lang w:eastAsia="en-GB"/>
        </w:rPr>
      </w:pPr>
    </w:p>
    <w:p w14:paraId="1BA47A65" w14:textId="77777777" w:rsidR="002D6782" w:rsidRPr="002D6782" w:rsidRDefault="002D6782" w:rsidP="00561503">
      <w:pPr>
        <w:spacing w:after="0" w:line="240" w:lineRule="auto"/>
        <w:ind w:firstLine="567"/>
        <w:contextualSpacing/>
        <w:rPr>
          <w:rFonts w:ascii="Arial" w:eastAsia="Times New Roman" w:hAnsi="Arial" w:cs="Arial"/>
          <w:b/>
          <w:szCs w:val="20"/>
          <w:lang w:eastAsia="en-GB"/>
        </w:rPr>
      </w:pPr>
      <w:r w:rsidRPr="002D6782">
        <w:rPr>
          <w:rFonts w:ascii="Arial" w:eastAsia="Times New Roman" w:hAnsi="Arial" w:cs="Arial"/>
          <w:b/>
          <w:szCs w:val="20"/>
          <w:lang w:eastAsia="en-GB"/>
        </w:rPr>
        <w:t>Local Government Finance Settlement</w:t>
      </w:r>
    </w:p>
    <w:p w14:paraId="1BA47A66" w14:textId="77777777" w:rsidR="002D6782" w:rsidRPr="002D6782" w:rsidRDefault="002D6782" w:rsidP="00561503">
      <w:pPr>
        <w:numPr>
          <w:ilvl w:val="0"/>
          <w:numId w:val="1"/>
        </w:numPr>
        <w:spacing w:after="0" w:line="240" w:lineRule="auto"/>
        <w:ind w:left="567"/>
        <w:rPr>
          <w:rFonts w:ascii="Arial" w:eastAsia="Times New Roman" w:hAnsi="Arial" w:cs="Arial"/>
          <w:lang w:eastAsia="en-GB"/>
        </w:rPr>
      </w:pPr>
      <w:r w:rsidRPr="002D6782">
        <w:rPr>
          <w:rFonts w:ascii="Arial" w:eastAsia="Times New Roman" w:hAnsi="Arial" w:cs="Arial"/>
          <w:lang w:eastAsia="en-GB"/>
        </w:rPr>
        <w:t>The Local Government Settlement included the result of the consultation and announced that there will be no additional funding for local welfare. Instead the government has separately identified £129.6 million which will come from within existing budgets in 2015/16, which are being cut by £2.5 billion.  </w:t>
      </w:r>
    </w:p>
    <w:p w14:paraId="1BA47A67" w14:textId="77777777" w:rsidR="002D6782" w:rsidRPr="002D6782" w:rsidRDefault="002D6782" w:rsidP="00561503">
      <w:pPr>
        <w:spacing w:after="0" w:line="240" w:lineRule="auto"/>
        <w:ind w:left="567"/>
        <w:rPr>
          <w:rFonts w:ascii="Arial" w:eastAsia="Times New Roman" w:hAnsi="Arial" w:cs="Arial"/>
          <w:lang w:eastAsia="en-GB"/>
        </w:rPr>
      </w:pPr>
    </w:p>
    <w:p w14:paraId="1BA47A68" w14:textId="77777777" w:rsidR="002D6782" w:rsidRPr="00616231" w:rsidRDefault="002D6782" w:rsidP="00561503">
      <w:pPr>
        <w:numPr>
          <w:ilvl w:val="0"/>
          <w:numId w:val="1"/>
        </w:numPr>
        <w:spacing w:after="0" w:line="240" w:lineRule="auto"/>
        <w:ind w:left="567"/>
        <w:rPr>
          <w:rFonts w:ascii="Arial" w:hAnsi="Arial" w:cs="Arial"/>
        </w:rPr>
      </w:pPr>
      <w:r w:rsidRPr="002D6782">
        <w:rPr>
          <w:rFonts w:ascii="Arial" w:eastAsia="Times New Roman" w:hAnsi="Arial" w:cs="Arial"/>
          <w:lang w:eastAsia="en-GB"/>
        </w:rPr>
        <w:t xml:space="preserve">The decision is disappointing following the call made by the LGA for the Government to provide additional funding to support local welfare assistance. Separately identifying funding for local welfare from within the existing core grant effectively represents a cut that will put additional pressure on existing council services. As a result many </w:t>
      </w:r>
      <w:proofErr w:type="gramStart"/>
      <w:r w:rsidRPr="002D6782">
        <w:rPr>
          <w:rFonts w:ascii="Arial" w:eastAsia="Times New Roman" w:hAnsi="Arial" w:cs="Arial"/>
          <w:lang w:eastAsia="en-GB"/>
        </w:rPr>
        <w:t>councils</w:t>
      </w:r>
      <w:proofErr w:type="gramEnd"/>
      <w:r w:rsidRPr="002D6782">
        <w:rPr>
          <w:rFonts w:ascii="Arial" w:eastAsia="Times New Roman" w:hAnsi="Arial" w:cs="Arial"/>
          <w:lang w:eastAsia="en-GB"/>
        </w:rPr>
        <w:t xml:space="preserve"> will be unable to continue to run their local welfare schemes. LGA research shows that </w:t>
      </w:r>
      <w:r w:rsidRPr="002D6782">
        <w:rPr>
          <w:rFonts w:ascii="Arial" w:eastAsia="Times New Roman" w:hAnsi="Arial" w:cs="Arial"/>
          <w:lang w:eastAsia="en-GB"/>
        </w:rPr>
        <w:lastRenderedPageBreak/>
        <w:t>without additional funding as many as three quarters of local welfare schemes will be scaled back or scrapped</w:t>
      </w:r>
      <w:r w:rsidRPr="00520B27">
        <w:rPr>
          <w:rStyle w:val="FootnoteReference"/>
          <w:rFonts w:ascii="Arial" w:hAnsi="Arial" w:cs="Arial"/>
        </w:rPr>
        <w:footnoteReference w:id="3"/>
      </w:r>
      <w:r w:rsidRPr="00520B27">
        <w:rPr>
          <w:rFonts w:ascii="Arial" w:hAnsi="Arial" w:cs="Arial"/>
        </w:rPr>
        <w:t>.</w:t>
      </w:r>
      <w:r>
        <w:rPr>
          <w:rFonts w:ascii="Arial" w:eastAsia="Times New Roman" w:hAnsi="Arial" w:cs="Arial"/>
          <w:lang w:eastAsia="en-GB"/>
        </w:rPr>
        <w:t xml:space="preserve"> </w:t>
      </w:r>
    </w:p>
    <w:p w14:paraId="1BA47A69" w14:textId="77777777" w:rsidR="002D6782" w:rsidRPr="002D6782" w:rsidRDefault="002D6782" w:rsidP="00561503">
      <w:pPr>
        <w:spacing w:after="0" w:line="240" w:lineRule="auto"/>
        <w:ind w:left="567"/>
        <w:rPr>
          <w:rFonts w:ascii="Arial" w:eastAsia="Times New Roman" w:hAnsi="Arial" w:cs="Arial"/>
          <w:lang w:eastAsia="en-GB"/>
        </w:rPr>
      </w:pPr>
    </w:p>
    <w:p w14:paraId="1BA47A6A" w14:textId="0CBECB33" w:rsidR="002D6782" w:rsidRPr="002D6782" w:rsidRDefault="002D6782" w:rsidP="00561503">
      <w:pPr>
        <w:pStyle w:val="ListParagraph"/>
        <w:numPr>
          <w:ilvl w:val="0"/>
          <w:numId w:val="1"/>
        </w:numPr>
        <w:ind w:left="426"/>
        <w:contextualSpacing/>
        <w:rPr>
          <w:sz w:val="23"/>
          <w:szCs w:val="23"/>
        </w:rPr>
      </w:pPr>
      <w:r w:rsidRPr="002D6782">
        <w:rPr>
          <w:rFonts w:ascii="Arial" w:hAnsi="Arial" w:cs="Arial"/>
          <w:szCs w:val="22"/>
        </w:rPr>
        <w:t xml:space="preserve">The LGA will continue to urge the Government to reconsider its decision ahead of this </w:t>
      </w:r>
      <w:r w:rsidRPr="002D6782">
        <w:rPr>
          <w:rFonts w:ascii="Arial" w:hAnsi="Arial" w:cs="Arial"/>
          <w:color w:val="000000"/>
          <w:szCs w:val="22"/>
        </w:rPr>
        <w:t>settlement</w:t>
      </w:r>
      <w:r w:rsidRPr="002D6782">
        <w:rPr>
          <w:rFonts w:ascii="Arial" w:hAnsi="Arial" w:cs="Arial"/>
          <w:szCs w:val="22"/>
        </w:rPr>
        <w:t xml:space="preserve"> being finalised in February. The LGA press release responding to the Settlement is at </w:t>
      </w:r>
      <w:r w:rsidR="00D00D94" w:rsidRPr="00D00D94">
        <w:rPr>
          <w:rFonts w:ascii="Arial" w:hAnsi="Arial" w:cs="Arial"/>
          <w:b/>
          <w:szCs w:val="22"/>
          <w:u w:val="single"/>
        </w:rPr>
        <w:t>Appendix B</w:t>
      </w:r>
      <w:r w:rsidRPr="002D6782">
        <w:rPr>
          <w:rFonts w:ascii="Arial" w:hAnsi="Arial" w:cs="Arial"/>
          <w:szCs w:val="22"/>
        </w:rPr>
        <w:t xml:space="preserve"> (with the response to the local welfare announcement at the end).</w:t>
      </w:r>
    </w:p>
    <w:p w14:paraId="1BA47A6B" w14:textId="77777777" w:rsidR="002D6782" w:rsidRPr="002D6782" w:rsidRDefault="002D6782" w:rsidP="00561503">
      <w:pPr>
        <w:spacing w:after="0" w:line="240" w:lineRule="auto"/>
        <w:contextualSpacing/>
        <w:rPr>
          <w:rFonts w:ascii="Arial" w:hAnsi="Arial" w:cs="Arial"/>
        </w:rPr>
      </w:pPr>
    </w:p>
    <w:p w14:paraId="1BA47A6C" w14:textId="77777777" w:rsidR="002D6782" w:rsidRDefault="002D6782" w:rsidP="00561503">
      <w:pPr>
        <w:spacing w:after="0" w:line="240" w:lineRule="auto"/>
        <w:contextualSpacing/>
        <w:rPr>
          <w:rFonts w:ascii="Arial" w:eastAsia="Times New Roman" w:hAnsi="Arial" w:cs="Arial"/>
          <w:b/>
          <w:szCs w:val="20"/>
          <w:lang w:eastAsia="en-GB"/>
        </w:rPr>
      </w:pPr>
      <w:r w:rsidRPr="00561503">
        <w:rPr>
          <w:rFonts w:ascii="Arial" w:eastAsia="Times New Roman" w:hAnsi="Arial" w:cs="Arial"/>
          <w:b/>
          <w:szCs w:val="20"/>
          <w:lang w:eastAsia="en-GB"/>
        </w:rPr>
        <w:t>Discretionary Housing Payment update</w:t>
      </w:r>
    </w:p>
    <w:p w14:paraId="1BA47A6D" w14:textId="77777777" w:rsidR="00561503" w:rsidRPr="00561503" w:rsidRDefault="00561503" w:rsidP="00561503">
      <w:pPr>
        <w:spacing w:after="0" w:line="240" w:lineRule="auto"/>
        <w:contextualSpacing/>
        <w:rPr>
          <w:rFonts w:ascii="Arial" w:eastAsia="Times New Roman" w:hAnsi="Arial" w:cs="Arial"/>
          <w:b/>
          <w:szCs w:val="20"/>
          <w:lang w:eastAsia="en-GB"/>
        </w:rPr>
      </w:pPr>
    </w:p>
    <w:p w14:paraId="1BA47A6E" w14:textId="7D9ECDA7" w:rsidR="002D6782" w:rsidRDefault="002D6782" w:rsidP="00561503">
      <w:pPr>
        <w:pStyle w:val="ListParagraph"/>
        <w:numPr>
          <w:ilvl w:val="0"/>
          <w:numId w:val="1"/>
        </w:numPr>
        <w:ind w:left="426"/>
        <w:contextualSpacing/>
        <w:rPr>
          <w:rFonts w:ascii="Arial" w:hAnsi="Arial" w:cs="Arial"/>
          <w:szCs w:val="22"/>
        </w:rPr>
      </w:pPr>
      <w:r>
        <w:rPr>
          <w:rFonts w:ascii="Arial" w:hAnsi="Arial" w:cs="Arial"/>
          <w:szCs w:val="22"/>
        </w:rPr>
        <w:t>An announcement is expected to be made in early January on</w:t>
      </w:r>
      <w:r w:rsidR="004A1D36" w:rsidRPr="004A1D36">
        <w:rPr>
          <w:rFonts w:ascii="Arial" w:hAnsi="Arial" w:cs="Arial"/>
          <w:szCs w:val="22"/>
        </w:rPr>
        <w:t xml:space="preserve"> </w:t>
      </w:r>
      <w:r w:rsidR="004A1D36" w:rsidRPr="004A1D36">
        <w:rPr>
          <w:rFonts w:ascii="Arial" w:hAnsi="Arial" w:cs="Arial"/>
          <w:szCs w:val="22"/>
        </w:rPr>
        <w:t>Discretionary Housing Payment</w:t>
      </w:r>
      <w:r>
        <w:rPr>
          <w:rFonts w:ascii="Arial" w:hAnsi="Arial" w:cs="Arial"/>
          <w:szCs w:val="22"/>
        </w:rPr>
        <w:t xml:space="preserve"> </w:t>
      </w:r>
      <w:r w:rsidR="004A1D36">
        <w:rPr>
          <w:rFonts w:ascii="Arial" w:hAnsi="Arial" w:cs="Arial"/>
          <w:szCs w:val="22"/>
        </w:rPr>
        <w:t>(</w:t>
      </w:r>
      <w:r>
        <w:rPr>
          <w:rFonts w:ascii="Arial" w:hAnsi="Arial" w:cs="Arial"/>
          <w:szCs w:val="22"/>
        </w:rPr>
        <w:t>DHP</w:t>
      </w:r>
      <w:r w:rsidR="004A1D36">
        <w:rPr>
          <w:rFonts w:ascii="Arial" w:hAnsi="Arial" w:cs="Arial"/>
          <w:szCs w:val="22"/>
        </w:rPr>
        <w:t>)</w:t>
      </w:r>
      <w:r>
        <w:rPr>
          <w:rFonts w:ascii="Arial" w:hAnsi="Arial" w:cs="Arial"/>
          <w:szCs w:val="22"/>
        </w:rPr>
        <w:t xml:space="preserve"> funding in 2015/16 on which an additional update paper will be circulated ahead of the Board meeting.</w:t>
      </w:r>
    </w:p>
    <w:p w14:paraId="1BA47A6F" w14:textId="77777777" w:rsidR="002D6782" w:rsidRPr="00616231" w:rsidRDefault="002D6782" w:rsidP="00561503">
      <w:pPr>
        <w:pStyle w:val="ListParagraph"/>
        <w:ind w:left="426"/>
        <w:contextualSpacing/>
        <w:rPr>
          <w:rFonts w:ascii="Arial" w:hAnsi="Arial" w:cs="Arial"/>
          <w:szCs w:val="22"/>
        </w:rPr>
      </w:pPr>
    </w:p>
    <w:p w14:paraId="1BA47A70" w14:textId="77777777" w:rsidR="002D6782" w:rsidRDefault="002D6782" w:rsidP="00561503">
      <w:pPr>
        <w:spacing w:after="0" w:line="240" w:lineRule="auto"/>
        <w:contextualSpacing/>
        <w:rPr>
          <w:rFonts w:ascii="Arial" w:eastAsia="Times New Roman" w:hAnsi="Arial" w:cs="Arial"/>
          <w:b/>
          <w:szCs w:val="20"/>
          <w:lang w:eastAsia="en-GB"/>
        </w:rPr>
      </w:pPr>
      <w:r w:rsidRPr="00561503">
        <w:rPr>
          <w:rFonts w:ascii="Arial" w:eastAsia="Times New Roman" w:hAnsi="Arial" w:cs="Arial"/>
          <w:b/>
          <w:szCs w:val="20"/>
          <w:lang w:eastAsia="en-GB"/>
        </w:rPr>
        <w:t>Universal Credit</w:t>
      </w:r>
    </w:p>
    <w:p w14:paraId="1BA47A71" w14:textId="77777777" w:rsidR="00561503" w:rsidRPr="00561503" w:rsidRDefault="00561503" w:rsidP="00561503">
      <w:pPr>
        <w:spacing w:after="0" w:line="240" w:lineRule="auto"/>
        <w:contextualSpacing/>
        <w:rPr>
          <w:rFonts w:ascii="Arial" w:eastAsia="Times New Roman" w:hAnsi="Arial" w:cs="Arial"/>
          <w:b/>
          <w:szCs w:val="20"/>
          <w:lang w:eastAsia="en-GB"/>
        </w:rPr>
      </w:pPr>
    </w:p>
    <w:p w14:paraId="1BA47A72" w14:textId="77777777" w:rsidR="002D6782" w:rsidRPr="00885F28" w:rsidRDefault="002D6782" w:rsidP="00561503">
      <w:pPr>
        <w:spacing w:after="0" w:line="240" w:lineRule="auto"/>
        <w:ind w:firstLine="360"/>
        <w:rPr>
          <w:rFonts w:ascii="Arial" w:hAnsi="Arial" w:cs="Arial"/>
          <w:b/>
          <w:color w:val="000000"/>
        </w:rPr>
      </w:pPr>
      <w:r w:rsidRPr="00885F28">
        <w:rPr>
          <w:rFonts w:ascii="Arial" w:hAnsi="Arial" w:cs="Arial"/>
          <w:b/>
          <w:color w:val="000000"/>
        </w:rPr>
        <w:t>TUPE</w:t>
      </w:r>
    </w:p>
    <w:p w14:paraId="1BA47A73" w14:textId="11AEFFAD" w:rsidR="002D6782" w:rsidRDefault="005803A6" w:rsidP="00561503">
      <w:pPr>
        <w:pStyle w:val="ListParagraph"/>
        <w:numPr>
          <w:ilvl w:val="0"/>
          <w:numId w:val="1"/>
        </w:numPr>
        <w:rPr>
          <w:rFonts w:ascii="Arial" w:hAnsi="Arial" w:cs="Arial"/>
          <w:color w:val="000000"/>
          <w:szCs w:val="22"/>
        </w:rPr>
      </w:pPr>
      <w:r>
        <w:rPr>
          <w:rFonts w:ascii="Arial" w:hAnsi="Arial" w:cs="Arial"/>
          <w:color w:val="000000"/>
          <w:szCs w:val="22"/>
        </w:rPr>
        <w:t>The Department for Work and Pensions (</w:t>
      </w:r>
      <w:r w:rsidR="002D6782">
        <w:rPr>
          <w:rFonts w:ascii="Arial" w:hAnsi="Arial" w:cs="Arial"/>
          <w:color w:val="000000"/>
          <w:szCs w:val="22"/>
        </w:rPr>
        <w:t>DWP</w:t>
      </w:r>
      <w:r>
        <w:rPr>
          <w:rFonts w:ascii="Arial" w:hAnsi="Arial" w:cs="Arial"/>
          <w:color w:val="000000"/>
          <w:szCs w:val="22"/>
        </w:rPr>
        <w:t>)</w:t>
      </w:r>
      <w:r w:rsidR="002D6782">
        <w:rPr>
          <w:rFonts w:ascii="Arial" w:hAnsi="Arial" w:cs="Arial"/>
          <w:color w:val="000000"/>
          <w:szCs w:val="22"/>
        </w:rPr>
        <w:t xml:space="preserve"> has written to the LGA confirming their current position around TUPE. The letter (</w:t>
      </w:r>
      <w:r w:rsidR="00D00D94">
        <w:rPr>
          <w:rFonts w:ascii="Arial" w:hAnsi="Arial" w:cs="Arial"/>
          <w:color w:val="000000"/>
          <w:szCs w:val="22"/>
        </w:rPr>
        <w:t xml:space="preserve">attached at </w:t>
      </w:r>
      <w:r w:rsidR="00D00D94" w:rsidRPr="00D00D94">
        <w:rPr>
          <w:rFonts w:ascii="Arial" w:hAnsi="Arial" w:cs="Arial"/>
          <w:b/>
          <w:color w:val="000000"/>
          <w:szCs w:val="22"/>
          <w:u w:val="single"/>
        </w:rPr>
        <w:t>A</w:t>
      </w:r>
      <w:r w:rsidR="002D6782" w:rsidRPr="00D00D94">
        <w:rPr>
          <w:rFonts w:ascii="Arial" w:hAnsi="Arial" w:cs="Arial"/>
          <w:b/>
          <w:color w:val="000000"/>
          <w:szCs w:val="22"/>
          <w:u w:val="single"/>
        </w:rPr>
        <w:t xml:space="preserve">ppendix </w:t>
      </w:r>
      <w:r w:rsidR="00D00D94" w:rsidRPr="00D00D94">
        <w:rPr>
          <w:rFonts w:ascii="Arial" w:hAnsi="Arial" w:cs="Arial"/>
          <w:b/>
          <w:color w:val="000000"/>
          <w:szCs w:val="22"/>
          <w:u w:val="single"/>
        </w:rPr>
        <w:t>C</w:t>
      </w:r>
      <w:r w:rsidR="002D6782">
        <w:rPr>
          <w:rFonts w:ascii="Arial" w:hAnsi="Arial" w:cs="Arial"/>
          <w:color w:val="000000"/>
          <w:szCs w:val="22"/>
        </w:rPr>
        <w:t xml:space="preserve">) highlights that the spending review is the current key timetable driver for the department. Due to this they expect to be in a better position to help councils plan their 2016-17 staffing and service requirements from autumn 2015. Therefore </w:t>
      </w:r>
      <w:r w:rsidR="002D6782">
        <w:rPr>
          <w:rFonts w:ascii="Arial" w:hAnsi="Arial" w:cs="Arial"/>
          <w:color w:val="000000"/>
        </w:rPr>
        <w:t>no change to housing benefit</w:t>
      </w:r>
      <w:r w:rsidR="002D6782" w:rsidRPr="00BC76BC">
        <w:rPr>
          <w:rFonts w:ascii="Arial" w:hAnsi="Arial" w:cs="Arial"/>
          <w:color w:val="000000"/>
        </w:rPr>
        <w:t xml:space="preserve"> admin </w:t>
      </w:r>
      <w:r w:rsidR="002D6782">
        <w:rPr>
          <w:rFonts w:ascii="Arial" w:hAnsi="Arial" w:cs="Arial"/>
          <w:color w:val="000000"/>
        </w:rPr>
        <w:t xml:space="preserve">grant </w:t>
      </w:r>
      <w:r w:rsidR="002D6782" w:rsidRPr="00BC76BC">
        <w:rPr>
          <w:rFonts w:ascii="Arial" w:hAnsi="Arial" w:cs="Arial"/>
          <w:color w:val="000000"/>
        </w:rPr>
        <w:t>arrangements will be made before 2016-17</w:t>
      </w:r>
      <w:r w:rsidR="002D6782">
        <w:rPr>
          <w:rFonts w:ascii="Arial" w:hAnsi="Arial" w:cs="Arial"/>
          <w:color w:val="000000"/>
          <w:szCs w:val="22"/>
        </w:rPr>
        <w:t>.</w:t>
      </w:r>
    </w:p>
    <w:p w14:paraId="1BA47A74" w14:textId="77777777" w:rsidR="002D6782" w:rsidRDefault="002D6782" w:rsidP="00561503">
      <w:pPr>
        <w:pStyle w:val="ListParagraph"/>
        <w:rPr>
          <w:rFonts w:ascii="Arial" w:hAnsi="Arial" w:cs="Arial"/>
          <w:color w:val="000000"/>
          <w:szCs w:val="22"/>
        </w:rPr>
      </w:pPr>
    </w:p>
    <w:p w14:paraId="1BA47A75" w14:textId="0CE61229" w:rsidR="002D6782" w:rsidRDefault="005803A6" w:rsidP="00561503">
      <w:pPr>
        <w:pStyle w:val="ListParagraph"/>
        <w:numPr>
          <w:ilvl w:val="0"/>
          <w:numId w:val="1"/>
        </w:numPr>
        <w:rPr>
          <w:rFonts w:ascii="Arial" w:hAnsi="Arial" w:cs="Arial"/>
          <w:color w:val="000000"/>
          <w:szCs w:val="22"/>
        </w:rPr>
      </w:pPr>
      <w:r>
        <w:rPr>
          <w:rFonts w:ascii="Arial" w:hAnsi="Arial" w:cs="Arial"/>
          <w:color w:val="000000"/>
          <w:szCs w:val="22"/>
        </w:rPr>
        <w:t xml:space="preserve">The </w:t>
      </w:r>
      <w:r w:rsidR="002D6782">
        <w:rPr>
          <w:rFonts w:ascii="Arial" w:hAnsi="Arial" w:cs="Arial"/>
          <w:color w:val="000000"/>
          <w:szCs w:val="22"/>
        </w:rPr>
        <w:t>DWP has further confirmed that this situation means no decision on the transfer of staff has been taken. They have also recognised that there is a further conversation to be had around the future plans for pension age housing benefit which may also have an impact on council staffing.</w:t>
      </w:r>
    </w:p>
    <w:p w14:paraId="1BA47A76" w14:textId="77777777" w:rsidR="002D6782" w:rsidRPr="00BB6E02" w:rsidRDefault="002D6782" w:rsidP="00561503">
      <w:pPr>
        <w:pStyle w:val="ListParagraph"/>
        <w:rPr>
          <w:rFonts w:ascii="Arial" w:hAnsi="Arial" w:cs="Arial"/>
          <w:color w:val="000000"/>
          <w:szCs w:val="22"/>
        </w:rPr>
      </w:pPr>
    </w:p>
    <w:p w14:paraId="1BA47A77" w14:textId="77777777" w:rsidR="002D6782" w:rsidRPr="00885F28" w:rsidRDefault="002D6782" w:rsidP="00561503">
      <w:pPr>
        <w:spacing w:after="0" w:line="240" w:lineRule="auto"/>
        <w:ind w:firstLine="360"/>
        <w:rPr>
          <w:rFonts w:ascii="Arial" w:hAnsi="Arial" w:cs="Arial"/>
          <w:b/>
          <w:color w:val="000000"/>
        </w:rPr>
      </w:pPr>
      <w:r w:rsidRPr="00885F28">
        <w:rPr>
          <w:rFonts w:ascii="Arial" w:hAnsi="Arial" w:cs="Arial"/>
          <w:b/>
          <w:color w:val="000000"/>
        </w:rPr>
        <w:t>Housing benefit IT suppliers</w:t>
      </w:r>
    </w:p>
    <w:p w14:paraId="1BA47A78" w14:textId="0A06C9DF" w:rsidR="002D6782" w:rsidRPr="008B4CC8" w:rsidRDefault="002D6782" w:rsidP="00561503">
      <w:pPr>
        <w:pStyle w:val="ListParagraph"/>
        <w:numPr>
          <w:ilvl w:val="0"/>
          <w:numId w:val="1"/>
        </w:numPr>
        <w:rPr>
          <w:rFonts w:ascii="Arial" w:hAnsi="Arial" w:cs="Arial"/>
          <w:color w:val="000000"/>
          <w:szCs w:val="22"/>
        </w:rPr>
      </w:pPr>
      <w:r>
        <w:rPr>
          <w:rFonts w:ascii="Arial" w:hAnsi="Arial" w:cs="Arial"/>
          <w:color w:val="000000"/>
          <w:szCs w:val="22"/>
        </w:rPr>
        <w:t>The LGA has previously communicated to all councils that in the future</w:t>
      </w:r>
      <w:r>
        <w:rPr>
          <w:rFonts w:ascii="Arial" w:hAnsi="Arial" w:cs="Arial"/>
        </w:rPr>
        <w:t xml:space="preserve"> they may</w:t>
      </w:r>
      <w:r w:rsidRPr="008B4CC8">
        <w:rPr>
          <w:rFonts w:ascii="Arial" w:hAnsi="Arial" w:cs="Arial"/>
        </w:rPr>
        <w:t xml:space="preserve"> be having conversations with their IT suppliers about changes to their systems to share </w:t>
      </w:r>
      <w:r w:rsidR="00614464" w:rsidRPr="008B4CC8">
        <w:rPr>
          <w:rFonts w:ascii="Arial" w:hAnsi="Arial" w:cs="Arial"/>
        </w:rPr>
        <w:t>U</w:t>
      </w:r>
      <w:r w:rsidR="00614464">
        <w:rPr>
          <w:rFonts w:ascii="Arial" w:hAnsi="Arial" w:cs="Arial"/>
        </w:rPr>
        <w:t xml:space="preserve">niversal </w:t>
      </w:r>
      <w:r w:rsidRPr="008B4CC8">
        <w:rPr>
          <w:rFonts w:ascii="Arial" w:hAnsi="Arial" w:cs="Arial"/>
        </w:rPr>
        <w:t>C</w:t>
      </w:r>
      <w:r w:rsidR="00614464">
        <w:rPr>
          <w:rFonts w:ascii="Arial" w:hAnsi="Arial" w:cs="Arial"/>
        </w:rPr>
        <w:t xml:space="preserve">redit (UC) </w:t>
      </w:r>
      <w:r w:rsidRPr="008B4CC8">
        <w:rPr>
          <w:rFonts w:ascii="Arial" w:hAnsi="Arial" w:cs="Arial"/>
        </w:rPr>
        <w:t xml:space="preserve">related data with </w:t>
      </w:r>
      <w:r w:rsidR="00585E48">
        <w:rPr>
          <w:rFonts w:ascii="Arial" w:hAnsi="Arial" w:cs="Arial"/>
        </w:rPr>
        <w:t xml:space="preserve">the </w:t>
      </w:r>
      <w:r w:rsidRPr="008B4CC8">
        <w:rPr>
          <w:rFonts w:ascii="Arial" w:hAnsi="Arial" w:cs="Arial"/>
        </w:rPr>
        <w:t>DWP. In principle,</w:t>
      </w:r>
      <w:r w:rsidR="00585E48">
        <w:rPr>
          <w:rFonts w:ascii="Arial" w:hAnsi="Arial" w:cs="Arial"/>
        </w:rPr>
        <w:t xml:space="preserve"> the</w:t>
      </w:r>
      <w:r w:rsidRPr="008B4CC8">
        <w:rPr>
          <w:rFonts w:ascii="Arial" w:hAnsi="Arial" w:cs="Arial"/>
        </w:rPr>
        <w:t xml:space="preserve"> DWP should pay costs related to UC, which are technically a “new burden”.</w:t>
      </w:r>
      <w:r>
        <w:rPr>
          <w:rFonts w:ascii="Arial" w:hAnsi="Arial" w:cs="Arial"/>
        </w:rPr>
        <w:t xml:space="preserve"> </w:t>
      </w:r>
      <w:r w:rsidR="00585E48">
        <w:rPr>
          <w:rFonts w:ascii="Arial" w:hAnsi="Arial" w:cs="Arial"/>
        </w:rPr>
        <w:t xml:space="preserve">The </w:t>
      </w:r>
      <w:r>
        <w:rPr>
          <w:rFonts w:ascii="Arial" w:hAnsi="Arial" w:cs="Arial"/>
        </w:rPr>
        <w:t>DWP are putting an approvals process in place to deal with this.</w:t>
      </w:r>
    </w:p>
    <w:p w14:paraId="1BA47A79" w14:textId="77777777" w:rsidR="002D6782" w:rsidRPr="008B4CC8" w:rsidRDefault="002D6782" w:rsidP="00561503">
      <w:pPr>
        <w:pStyle w:val="ListParagraph"/>
        <w:rPr>
          <w:rFonts w:ascii="Arial" w:hAnsi="Arial" w:cs="Arial"/>
          <w:color w:val="000000"/>
          <w:szCs w:val="22"/>
        </w:rPr>
      </w:pPr>
    </w:p>
    <w:p w14:paraId="1BA47A7A" w14:textId="42CCCA29" w:rsidR="002D6782" w:rsidRPr="008B4CC8" w:rsidRDefault="002D6782" w:rsidP="00561503">
      <w:pPr>
        <w:pStyle w:val="ListParagraph"/>
        <w:numPr>
          <w:ilvl w:val="0"/>
          <w:numId w:val="1"/>
        </w:numPr>
        <w:rPr>
          <w:rFonts w:ascii="Arial" w:hAnsi="Arial" w:cs="Arial"/>
          <w:color w:val="000000"/>
          <w:szCs w:val="22"/>
        </w:rPr>
      </w:pPr>
      <w:r>
        <w:rPr>
          <w:rFonts w:ascii="Arial" w:hAnsi="Arial" w:cs="Arial"/>
        </w:rPr>
        <w:t>The LGA has been</w:t>
      </w:r>
      <w:r w:rsidRPr="008B4CC8">
        <w:rPr>
          <w:rFonts w:ascii="Arial" w:hAnsi="Arial" w:cs="Arial"/>
        </w:rPr>
        <w:t xml:space="preserve"> pursuing discussions with</w:t>
      </w:r>
      <w:r w:rsidR="00585E48">
        <w:rPr>
          <w:rFonts w:ascii="Arial" w:hAnsi="Arial" w:cs="Arial"/>
        </w:rPr>
        <w:t xml:space="preserve"> the</w:t>
      </w:r>
      <w:r w:rsidRPr="008B4CC8">
        <w:rPr>
          <w:rFonts w:ascii="Arial" w:hAnsi="Arial" w:cs="Arial"/>
        </w:rPr>
        <w:t xml:space="preserve"> DWP about</w:t>
      </w:r>
      <w:r>
        <w:rPr>
          <w:rFonts w:ascii="Arial" w:hAnsi="Arial" w:cs="Arial"/>
        </w:rPr>
        <w:t xml:space="preserve"> an issue relating to</w:t>
      </w:r>
      <w:r w:rsidRPr="008B4CC8">
        <w:rPr>
          <w:rFonts w:ascii="Arial" w:hAnsi="Arial" w:cs="Arial"/>
        </w:rPr>
        <w:t xml:space="preserve"> </w:t>
      </w:r>
      <w:r>
        <w:rPr>
          <w:rFonts w:ascii="Arial" w:hAnsi="Arial" w:cs="Arial"/>
        </w:rPr>
        <w:t>historic IT costs relating to</w:t>
      </w:r>
      <w:r w:rsidRPr="008B4CC8">
        <w:rPr>
          <w:rFonts w:ascii="Arial" w:hAnsi="Arial" w:cs="Arial"/>
        </w:rPr>
        <w:t xml:space="preserve"> UC</w:t>
      </w:r>
      <w:r>
        <w:rPr>
          <w:rFonts w:ascii="Arial" w:hAnsi="Arial" w:cs="Arial"/>
        </w:rPr>
        <w:t>. An oral update about this will be provided at the meeting.</w:t>
      </w:r>
    </w:p>
    <w:p w14:paraId="1BA47A7B" w14:textId="77777777" w:rsidR="002D6782" w:rsidRPr="00012762" w:rsidRDefault="002D6782" w:rsidP="00561503">
      <w:pPr>
        <w:spacing w:after="0" w:line="240" w:lineRule="auto"/>
        <w:rPr>
          <w:rFonts w:ascii="Arial" w:hAnsi="Arial" w:cs="Arial"/>
          <w:color w:val="000000"/>
        </w:rPr>
      </w:pPr>
    </w:p>
    <w:p w14:paraId="1BA47A7C" w14:textId="77777777" w:rsidR="002D6782" w:rsidRPr="00885F28" w:rsidRDefault="002D6782" w:rsidP="00561503">
      <w:pPr>
        <w:spacing w:after="0" w:line="240" w:lineRule="auto"/>
        <w:ind w:firstLine="360"/>
        <w:rPr>
          <w:rFonts w:ascii="Arial" w:hAnsi="Arial" w:cs="Arial"/>
          <w:b/>
          <w:color w:val="000000"/>
        </w:rPr>
      </w:pPr>
      <w:r w:rsidRPr="00885F28">
        <w:rPr>
          <w:rFonts w:ascii="Arial" w:hAnsi="Arial" w:cs="Arial"/>
          <w:b/>
          <w:color w:val="000000"/>
        </w:rPr>
        <w:t>National Expansion</w:t>
      </w:r>
    </w:p>
    <w:p w14:paraId="1BA47A7D" w14:textId="7DFE5EB7" w:rsidR="002D6782" w:rsidRPr="00332C9F" w:rsidRDefault="00585E48" w:rsidP="00561503">
      <w:pPr>
        <w:pStyle w:val="ListParagraph"/>
        <w:numPr>
          <w:ilvl w:val="0"/>
          <w:numId w:val="1"/>
        </w:numPr>
        <w:rPr>
          <w:rFonts w:ascii="Arial" w:hAnsi="Arial" w:cs="Arial"/>
          <w:color w:val="000000"/>
          <w:szCs w:val="22"/>
        </w:rPr>
      </w:pPr>
      <w:r>
        <w:rPr>
          <w:rFonts w:ascii="Arial" w:hAnsi="Arial" w:cs="Arial"/>
          <w:color w:val="000000"/>
          <w:szCs w:val="22"/>
        </w:rPr>
        <w:t xml:space="preserve">The </w:t>
      </w:r>
      <w:r w:rsidR="002D6782">
        <w:rPr>
          <w:rFonts w:ascii="Arial" w:hAnsi="Arial" w:cs="Arial"/>
          <w:color w:val="000000"/>
          <w:szCs w:val="22"/>
        </w:rPr>
        <w:t xml:space="preserve">DWP has begun preparing for the national expansion of </w:t>
      </w:r>
      <w:r>
        <w:rPr>
          <w:rFonts w:ascii="Arial" w:hAnsi="Arial" w:cs="Arial"/>
          <w:color w:val="000000"/>
          <w:szCs w:val="22"/>
        </w:rPr>
        <w:t>UC</w:t>
      </w:r>
      <w:r w:rsidR="002D6782">
        <w:rPr>
          <w:rFonts w:ascii="Arial" w:hAnsi="Arial" w:cs="Arial"/>
          <w:color w:val="000000"/>
          <w:szCs w:val="22"/>
        </w:rPr>
        <w:t>. Rollout</w:t>
      </w:r>
      <w:r w:rsidR="002D6782" w:rsidRPr="00332C9F">
        <w:rPr>
          <w:rFonts w:ascii="Arial" w:hAnsi="Arial" w:cs="Arial"/>
          <w:color w:val="000000"/>
          <w:szCs w:val="22"/>
        </w:rPr>
        <w:t xml:space="preserve"> will commence from February 2015 for single claimants previously eligible for Jobseekers Allowance. This means that a number of new councils will be going live with UC from as soon as February 2015. </w:t>
      </w:r>
      <w:r>
        <w:rPr>
          <w:rFonts w:ascii="Arial" w:hAnsi="Arial" w:cs="Arial"/>
          <w:color w:val="000000"/>
          <w:szCs w:val="22"/>
        </w:rPr>
        <w:t xml:space="preserve">The </w:t>
      </w:r>
      <w:r w:rsidR="002D6782">
        <w:rPr>
          <w:rFonts w:ascii="Arial" w:hAnsi="Arial" w:cs="Arial"/>
          <w:color w:val="000000"/>
          <w:szCs w:val="22"/>
        </w:rPr>
        <w:t>DWP has had preliminary discussions with all councils who have been grouped within the first tranche of rollout. These discussions have provided an opportunity for councils to share any views they have about national expansion. A list of the councils in t</w:t>
      </w:r>
      <w:r w:rsidR="00D00D94">
        <w:rPr>
          <w:rFonts w:ascii="Arial" w:hAnsi="Arial" w:cs="Arial"/>
          <w:color w:val="000000"/>
          <w:szCs w:val="22"/>
        </w:rPr>
        <w:t xml:space="preserve">he first tranche can be found at </w:t>
      </w:r>
      <w:r w:rsidR="00D00D94" w:rsidRPr="00D00D94">
        <w:rPr>
          <w:rFonts w:ascii="Arial" w:hAnsi="Arial" w:cs="Arial"/>
          <w:b/>
          <w:color w:val="000000"/>
          <w:szCs w:val="22"/>
          <w:u w:val="single"/>
        </w:rPr>
        <w:t>Appendix D</w:t>
      </w:r>
      <w:r w:rsidR="002D6782">
        <w:rPr>
          <w:rFonts w:ascii="Arial" w:hAnsi="Arial" w:cs="Arial"/>
          <w:color w:val="000000"/>
          <w:szCs w:val="22"/>
        </w:rPr>
        <w:t>.</w:t>
      </w:r>
    </w:p>
    <w:p w14:paraId="1BA47A7E" w14:textId="77777777" w:rsidR="002D6782" w:rsidRPr="004E088E" w:rsidRDefault="002D6782" w:rsidP="00561503">
      <w:pPr>
        <w:pStyle w:val="ListParagraph"/>
        <w:rPr>
          <w:rFonts w:ascii="Arial" w:hAnsi="Arial" w:cs="Arial"/>
          <w:color w:val="000000"/>
          <w:szCs w:val="22"/>
        </w:rPr>
      </w:pPr>
    </w:p>
    <w:p w14:paraId="1BA47A7F" w14:textId="77777777" w:rsidR="002D6782" w:rsidRDefault="002D6782" w:rsidP="00561503">
      <w:pPr>
        <w:pStyle w:val="ListParagraph"/>
        <w:numPr>
          <w:ilvl w:val="0"/>
          <w:numId w:val="1"/>
        </w:numPr>
        <w:rPr>
          <w:rFonts w:ascii="Arial" w:hAnsi="Arial" w:cs="Arial"/>
          <w:color w:val="000000"/>
          <w:szCs w:val="22"/>
        </w:rPr>
      </w:pPr>
      <w:r>
        <w:rPr>
          <w:rFonts w:ascii="Arial" w:hAnsi="Arial" w:cs="Arial"/>
          <w:color w:val="000000"/>
          <w:szCs w:val="22"/>
        </w:rPr>
        <w:lastRenderedPageBreak/>
        <w:t>A draft copy of the Delivery Partnership Agreement (DPA) between Jobcentre Plus and Local Authorities has been shared with councils including all those who sit on Transition Working Group (TWG). This will be the vehicle for funding all national expansion activity.  Further scope exists for locally negotiating the details of the DPA to reflect the specific local circumstances of each council. LGA officers will continue to keep in close contact with councils in the first tranche of rollout. All councils in tranche 1 have been invited to send an elected member to a private meeting with Cllr David Sparks and Lord Freud in early January, to discuss national expansion.</w:t>
      </w:r>
    </w:p>
    <w:p w14:paraId="1BA47A80" w14:textId="77777777" w:rsidR="002D6782" w:rsidRPr="00C80D6A" w:rsidRDefault="002D6782" w:rsidP="00561503">
      <w:pPr>
        <w:pStyle w:val="ListParagraph"/>
        <w:rPr>
          <w:rFonts w:ascii="Arial" w:hAnsi="Arial" w:cs="Arial"/>
          <w:color w:val="000000"/>
          <w:szCs w:val="22"/>
        </w:rPr>
      </w:pPr>
    </w:p>
    <w:p w14:paraId="1BA47A81" w14:textId="38AF4BBB" w:rsidR="002D6782" w:rsidRDefault="00F946A5" w:rsidP="00561503">
      <w:pPr>
        <w:pStyle w:val="ListParagraph"/>
        <w:numPr>
          <w:ilvl w:val="0"/>
          <w:numId w:val="1"/>
        </w:numPr>
        <w:rPr>
          <w:rFonts w:ascii="Arial" w:hAnsi="Arial" w:cs="Arial"/>
          <w:color w:val="000000"/>
          <w:szCs w:val="22"/>
        </w:rPr>
      </w:pPr>
      <w:r>
        <w:rPr>
          <w:rFonts w:ascii="Arial" w:hAnsi="Arial" w:cs="Arial"/>
          <w:color w:val="000000"/>
          <w:szCs w:val="22"/>
        </w:rPr>
        <w:t xml:space="preserve">The </w:t>
      </w:r>
      <w:r w:rsidR="002D6782">
        <w:rPr>
          <w:rFonts w:ascii="Arial" w:hAnsi="Arial" w:cs="Arial"/>
          <w:color w:val="000000"/>
          <w:szCs w:val="22"/>
        </w:rPr>
        <w:t>DWP have completed the rollout of UC for single claimants across the North West. Work has now begun to rollout the expansion to families in the North West and live sites.</w:t>
      </w:r>
    </w:p>
    <w:p w14:paraId="1BA47A82" w14:textId="77777777" w:rsidR="002D6782" w:rsidRDefault="002D6782" w:rsidP="00561503">
      <w:pPr>
        <w:pStyle w:val="ListParagraph"/>
        <w:rPr>
          <w:rFonts w:ascii="Arial" w:hAnsi="Arial" w:cs="Arial"/>
          <w:color w:val="000000"/>
          <w:szCs w:val="22"/>
        </w:rPr>
      </w:pPr>
    </w:p>
    <w:p w14:paraId="1BA47A83" w14:textId="77777777" w:rsidR="002D6782" w:rsidRPr="00885F28" w:rsidRDefault="002D6782" w:rsidP="00561503">
      <w:pPr>
        <w:spacing w:after="0" w:line="240" w:lineRule="auto"/>
        <w:ind w:firstLine="360"/>
        <w:rPr>
          <w:rFonts w:ascii="Arial" w:hAnsi="Arial" w:cs="Arial"/>
          <w:b/>
          <w:color w:val="000000"/>
        </w:rPr>
      </w:pPr>
      <w:r w:rsidRPr="00885F28">
        <w:rPr>
          <w:rFonts w:ascii="Arial" w:hAnsi="Arial" w:cs="Arial"/>
          <w:b/>
          <w:color w:val="000000"/>
        </w:rPr>
        <w:t>Digital expansion</w:t>
      </w:r>
    </w:p>
    <w:p w14:paraId="1BA47A84" w14:textId="2530DA6D" w:rsidR="002D6782" w:rsidRDefault="002D6782" w:rsidP="00561503">
      <w:pPr>
        <w:pStyle w:val="ListParagraph"/>
        <w:numPr>
          <w:ilvl w:val="0"/>
          <w:numId w:val="1"/>
        </w:numPr>
        <w:rPr>
          <w:rFonts w:ascii="Arial" w:hAnsi="Arial" w:cs="Arial"/>
          <w:color w:val="000000"/>
          <w:szCs w:val="22"/>
        </w:rPr>
      </w:pPr>
      <w:r>
        <w:rPr>
          <w:rFonts w:ascii="Arial" w:hAnsi="Arial" w:cs="Arial"/>
          <w:color w:val="000000"/>
          <w:szCs w:val="22"/>
        </w:rPr>
        <w:t>DWP have begun to test out the future digital service for UC. The test of the enhanced digital service began on 26 November in Sutton. Claims are currently being taken from a single postcode in Sutton. All eligible claimant types inside the postcode can apply. The digital service consists of one online account for everything – payments, report changes and to view information. A further oral update will be provided at the meeting.</w:t>
      </w:r>
    </w:p>
    <w:p w14:paraId="1BA47A85" w14:textId="77777777" w:rsidR="002D6782" w:rsidRPr="00BB6E02" w:rsidRDefault="002D6782" w:rsidP="00561503">
      <w:pPr>
        <w:spacing w:after="0" w:line="240" w:lineRule="auto"/>
        <w:rPr>
          <w:rFonts w:ascii="Arial" w:hAnsi="Arial" w:cs="Arial"/>
          <w:b/>
          <w:color w:val="000000"/>
        </w:rPr>
      </w:pPr>
    </w:p>
    <w:p w14:paraId="1BA47A86" w14:textId="77777777" w:rsidR="002D6782" w:rsidRPr="00885F28" w:rsidRDefault="002D6782" w:rsidP="00561503">
      <w:pPr>
        <w:spacing w:after="0" w:line="240" w:lineRule="auto"/>
        <w:ind w:firstLine="360"/>
        <w:rPr>
          <w:rFonts w:ascii="Arial" w:hAnsi="Arial" w:cs="Arial"/>
          <w:b/>
          <w:color w:val="000000"/>
        </w:rPr>
      </w:pPr>
      <w:r w:rsidRPr="00885F28">
        <w:rPr>
          <w:rFonts w:ascii="Arial" w:hAnsi="Arial" w:cs="Arial"/>
          <w:b/>
          <w:color w:val="000000"/>
        </w:rPr>
        <w:t>Universal Credit Trial Sites</w:t>
      </w:r>
      <w:r w:rsidRPr="00885F28">
        <w:rPr>
          <w:rFonts w:ascii="Arial" w:hAnsi="Arial"/>
          <w:color w:val="000000"/>
        </w:rPr>
        <w:t xml:space="preserve"> </w:t>
      </w:r>
    </w:p>
    <w:p w14:paraId="1BA47A87" w14:textId="14A10EFA" w:rsidR="002D6782" w:rsidRPr="00785AEF" w:rsidRDefault="002D6782" w:rsidP="00561503">
      <w:pPr>
        <w:pStyle w:val="ListParagraph"/>
        <w:numPr>
          <w:ilvl w:val="0"/>
          <w:numId w:val="1"/>
        </w:numPr>
        <w:rPr>
          <w:rFonts w:ascii="Arial" w:hAnsi="Arial" w:cs="Arial"/>
          <w:color w:val="000000"/>
          <w:szCs w:val="22"/>
        </w:rPr>
      </w:pPr>
      <w:r>
        <w:rPr>
          <w:rFonts w:ascii="Arial" w:hAnsi="Arial" w:cs="Arial"/>
          <w:color w:val="000000"/>
          <w:szCs w:val="22"/>
        </w:rPr>
        <w:t xml:space="preserve">The UC trial sites are all up and running. Cllr Sparks and Lord Freud both visited the Lambeth, Lewisham and Southwark trial in early November. The visit flagged up the success of the trial with all partners working well together and being able to operate in a flexible manner across organisational boundaries. Cllr Sparks was keen to flag up that as we move towards further co-location and co-commissioning there are issues around governance which need to be reviewed. LGA officers are working on these issues with </w:t>
      </w:r>
      <w:r w:rsidR="00833B4B">
        <w:rPr>
          <w:rFonts w:ascii="Arial" w:hAnsi="Arial" w:cs="Arial"/>
          <w:color w:val="000000"/>
          <w:szCs w:val="22"/>
        </w:rPr>
        <w:t xml:space="preserve">the </w:t>
      </w:r>
      <w:bookmarkStart w:id="1" w:name="_GoBack"/>
      <w:bookmarkEnd w:id="1"/>
      <w:r>
        <w:rPr>
          <w:rFonts w:ascii="Arial" w:hAnsi="Arial" w:cs="Arial"/>
          <w:color w:val="000000"/>
          <w:szCs w:val="22"/>
        </w:rPr>
        <w:t xml:space="preserve">DWP. </w:t>
      </w:r>
      <w:r w:rsidRPr="00785AEF">
        <w:rPr>
          <w:rFonts w:ascii="Arial" w:hAnsi="Arial" w:cs="Arial"/>
          <w:color w:val="000000"/>
          <w:szCs w:val="22"/>
        </w:rPr>
        <w:t xml:space="preserve">An interim report from the trials will be available in March 2015. </w:t>
      </w:r>
    </w:p>
    <w:sectPr w:rsidR="002D6782" w:rsidRPr="00785A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47A8A" w14:textId="77777777" w:rsidR="00E32C31" w:rsidRDefault="00E32C31" w:rsidP="002D6782">
      <w:pPr>
        <w:spacing w:after="0" w:line="240" w:lineRule="auto"/>
      </w:pPr>
      <w:r>
        <w:separator/>
      </w:r>
    </w:p>
  </w:endnote>
  <w:endnote w:type="continuationSeparator" w:id="0">
    <w:p w14:paraId="1BA47A8B" w14:textId="77777777" w:rsidR="00E32C31" w:rsidRDefault="00E32C31" w:rsidP="002D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fficina Sans ITC TT">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47A88" w14:textId="77777777" w:rsidR="00E32C31" w:rsidRDefault="00E32C31" w:rsidP="002D6782">
      <w:pPr>
        <w:spacing w:after="0" w:line="240" w:lineRule="auto"/>
      </w:pPr>
      <w:r>
        <w:separator/>
      </w:r>
    </w:p>
  </w:footnote>
  <w:footnote w:type="continuationSeparator" w:id="0">
    <w:p w14:paraId="1BA47A89" w14:textId="77777777" w:rsidR="00E32C31" w:rsidRDefault="00E32C31" w:rsidP="002D6782">
      <w:pPr>
        <w:spacing w:after="0" w:line="240" w:lineRule="auto"/>
      </w:pPr>
      <w:r>
        <w:continuationSeparator/>
      </w:r>
    </w:p>
  </w:footnote>
  <w:footnote w:id="1">
    <w:p w14:paraId="1BA47A99" w14:textId="77777777" w:rsidR="002D6782" w:rsidRPr="009C710C" w:rsidRDefault="002D6782" w:rsidP="002D6782">
      <w:pPr>
        <w:rPr>
          <w:rFonts w:ascii="Arial" w:hAnsi="Arial" w:cs="Arial"/>
          <w:sz w:val="18"/>
          <w:szCs w:val="18"/>
        </w:rPr>
      </w:pPr>
      <w:r w:rsidRPr="00AB76A1">
        <w:rPr>
          <w:rStyle w:val="FootnoteReference"/>
          <w:rFonts w:ascii="Arial" w:hAnsi="Arial" w:cs="Arial"/>
          <w:sz w:val="18"/>
          <w:szCs w:val="18"/>
        </w:rPr>
        <w:footnoteRef/>
      </w:r>
      <w:r w:rsidRPr="00AB76A1">
        <w:rPr>
          <w:rFonts w:ascii="Arial" w:hAnsi="Arial" w:cs="Arial"/>
          <w:sz w:val="18"/>
          <w:szCs w:val="18"/>
        </w:rPr>
        <w:t xml:space="preserve"> Available at: </w:t>
      </w:r>
      <w:hyperlink r:id="rId1" w:history="1">
        <w:r w:rsidRPr="00AB76A1">
          <w:rPr>
            <w:rStyle w:val="Hyperlink"/>
            <w:rFonts w:ascii="Arial" w:hAnsi="Arial" w:cs="Arial"/>
            <w:sz w:val="18"/>
            <w:szCs w:val="18"/>
          </w:rPr>
          <w:t>https://www.gov.uk/government/uploads/system/uploads/attachment_data/file/370763/local-welfare-provision-review-nov-2014.pdf</w:t>
        </w:r>
      </w:hyperlink>
    </w:p>
  </w:footnote>
  <w:footnote w:id="2">
    <w:p w14:paraId="1BA47A9A" w14:textId="77777777" w:rsidR="002D6782" w:rsidRDefault="002D6782" w:rsidP="002D6782">
      <w:pPr>
        <w:pStyle w:val="FootnoteText"/>
      </w:pPr>
      <w:r>
        <w:rPr>
          <w:rStyle w:val="FootnoteReference"/>
        </w:rPr>
        <w:footnoteRef/>
      </w:r>
      <w:r>
        <w:t xml:space="preserve"> The LGA consultation response: </w:t>
      </w:r>
      <w:hyperlink r:id="rId2" w:history="1">
        <w:r w:rsidRPr="00B00C73">
          <w:rPr>
            <w:rStyle w:val="Hyperlink"/>
          </w:rPr>
          <w:t>http://www.local.gov.uk/web/guest/welfare-reform/-/journal_content/56/10180/6031824/ARTICLE</w:t>
        </w:r>
      </w:hyperlink>
      <w:r>
        <w:t xml:space="preserve"> </w:t>
      </w:r>
    </w:p>
  </w:footnote>
  <w:footnote w:id="3">
    <w:p w14:paraId="1BA47A9B" w14:textId="77777777" w:rsidR="002D6782" w:rsidRDefault="002D6782" w:rsidP="002D6782">
      <w:pPr>
        <w:pStyle w:val="FootnoteText"/>
      </w:pPr>
      <w:r>
        <w:rPr>
          <w:rStyle w:val="FootnoteReference"/>
        </w:rPr>
        <w:footnoteRef/>
      </w:r>
      <w:r>
        <w:t xml:space="preserve"> LGA survey results: </w:t>
      </w:r>
      <w:hyperlink r:id="rId3" w:history="1">
        <w:r w:rsidRPr="00B00C73">
          <w:rPr>
            <w:rStyle w:val="Hyperlink"/>
          </w:rPr>
          <w:t>http://www.local.gov.uk/web/guest/media-releases/-/journal_content/56/10180/6583322/NEWS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0"/>
      <w:gridCol w:w="3492"/>
    </w:tblGrid>
    <w:tr w:rsidR="002D6782" w:rsidRPr="002D6782" w14:paraId="1BA47A8F" w14:textId="77777777" w:rsidTr="00F95C38">
      <w:tc>
        <w:tcPr>
          <w:tcW w:w="5778" w:type="dxa"/>
          <w:vMerge w:val="restart"/>
          <w:shd w:val="clear" w:color="auto" w:fill="auto"/>
        </w:tcPr>
        <w:p w14:paraId="1BA47A8C" w14:textId="77777777" w:rsidR="002D6782" w:rsidRPr="002D6782" w:rsidRDefault="002D6782" w:rsidP="002D6782">
          <w:pPr>
            <w:tabs>
              <w:tab w:val="center" w:pos="4153"/>
              <w:tab w:val="right" w:pos="8306"/>
            </w:tabs>
            <w:spacing w:after="0" w:line="240" w:lineRule="auto"/>
            <w:rPr>
              <w:rFonts w:ascii="Arial" w:eastAsia="Times New Roman" w:hAnsi="Arial" w:cs="Arial"/>
              <w:lang w:eastAsia="en-GB"/>
            </w:rPr>
          </w:pPr>
          <w:r w:rsidRPr="002D6782">
            <w:rPr>
              <w:rFonts w:ascii="Arial" w:eastAsia="Times New Roman" w:hAnsi="Arial" w:cs="Arial"/>
              <w:noProof/>
              <w:lang w:eastAsia="en-GB"/>
            </w:rPr>
            <w:drawing>
              <wp:inline distT="0" distB="0" distL="0" distR="0" wp14:anchorId="1BA47A97" wp14:editId="1BA47A98">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1BA47A8D" w14:textId="77777777" w:rsidR="002D6782" w:rsidRPr="002D6782" w:rsidRDefault="002D6782" w:rsidP="002D6782">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tcPr>
        <w:p w14:paraId="36B66195" w14:textId="77777777" w:rsidR="00294A28" w:rsidRDefault="00294A28" w:rsidP="002D6782">
          <w:pPr>
            <w:tabs>
              <w:tab w:val="center" w:pos="4153"/>
              <w:tab w:val="right" w:pos="8306"/>
            </w:tabs>
            <w:spacing w:after="0" w:line="240" w:lineRule="auto"/>
            <w:rPr>
              <w:rFonts w:ascii="Arial" w:eastAsia="Times New Roman" w:hAnsi="Arial" w:cs="Arial"/>
              <w:b/>
              <w:lang w:eastAsia="en-GB"/>
            </w:rPr>
          </w:pPr>
        </w:p>
        <w:p w14:paraId="1BA47A8E" w14:textId="77777777" w:rsidR="002D6782" w:rsidRPr="002D6782" w:rsidRDefault="002D6782" w:rsidP="002D6782">
          <w:pPr>
            <w:tabs>
              <w:tab w:val="center" w:pos="4153"/>
              <w:tab w:val="right" w:pos="8306"/>
            </w:tabs>
            <w:spacing w:after="0" w:line="240" w:lineRule="auto"/>
            <w:rPr>
              <w:rFonts w:ascii="Arial" w:eastAsia="Times New Roman" w:hAnsi="Arial" w:cs="Arial"/>
              <w:b/>
              <w:lang w:eastAsia="en-GB"/>
            </w:rPr>
          </w:pPr>
          <w:r w:rsidRPr="002D6782">
            <w:rPr>
              <w:rFonts w:ascii="Arial" w:eastAsia="Times New Roman" w:hAnsi="Arial" w:cs="Arial"/>
              <w:b/>
              <w:lang w:eastAsia="en-GB"/>
            </w:rPr>
            <w:t xml:space="preserve">Resources Board </w:t>
          </w:r>
        </w:p>
      </w:tc>
    </w:tr>
    <w:tr w:rsidR="002D6782" w:rsidRPr="002D6782" w14:paraId="1BA47A92" w14:textId="77777777" w:rsidTr="00F95C38">
      <w:trPr>
        <w:trHeight w:val="450"/>
      </w:trPr>
      <w:tc>
        <w:tcPr>
          <w:tcW w:w="5778" w:type="dxa"/>
          <w:vMerge/>
          <w:shd w:val="clear" w:color="auto" w:fill="auto"/>
        </w:tcPr>
        <w:p w14:paraId="1BA47A90" w14:textId="77777777" w:rsidR="002D6782" w:rsidRPr="002D6782" w:rsidRDefault="002D6782" w:rsidP="002D6782">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tcPr>
        <w:p w14:paraId="1BA47A91" w14:textId="77777777" w:rsidR="002D6782" w:rsidRPr="002D6782" w:rsidRDefault="002D6782" w:rsidP="002D6782">
          <w:pPr>
            <w:tabs>
              <w:tab w:val="center" w:pos="4153"/>
              <w:tab w:val="right" w:pos="8306"/>
            </w:tabs>
            <w:spacing w:before="60" w:after="0" w:line="240" w:lineRule="auto"/>
            <w:rPr>
              <w:rFonts w:ascii="Arial" w:eastAsia="Times New Roman" w:hAnsi="Arial" w:cs="Arial"/>
              <w:lang w:eastAsia="en-GB"/>
            </w:rPr>
          </w:pPr>
          <w:r>
            <w:rPr>
              <w:rFonts w:ascii="Arial" w:eastAsia="Times New Roman" w:hAnsi="Arial" w:cs="Arial"/>
              <w:lang w:eastAsia="en-GB"/>
            </w:rPr>
            <w:t>7 January 2</w:t>
          </w:r>
          <w:r w:rsidRPr="002D6782">
            <w:rPr>
              <w:rFonts w:ascii="Arial" w:eastAsia="Times New Roman" w:hAnsi="Arial" w:cs="Arial"/>
              <w:lang w:eastAsia="en-GB"/>
            </w:rPr>
            <w:t xml:space="preserve">015 </w:t>
          </w:r>
        </w:p>
      </w:tc>
    </w:tr>
    <w:tr w:rsidR="002D6782" w:rsidRPr="002D6782" w14:paraId="1BA47A95" w14:textId="77777777" w:rsidTr="00F95C38">
      <w:trPr>
        <w:trHeight w:val="450"/>
      </w:trPr>
      <w:tc>
        <w:tcPr>
          <w:tcW w:w="5778" w:type="dxa"/>
          <w:vMerge/>
          <w:shd w:val="clear" w:color="auto" w:fill="auto"/>
        </w:tcPr>
        <w:p w14:paraId="1BA47A93" w14:textId="77777777" w:rsidR="002D6782" w:rsidRPr="002D6782" w:rsidRDefault="002D6782" w:rsidP="002D6782">
          <w:pPr>
            <w:tabs>
              <w:tab w:val="center" w:pos="4153"/>
              <w:tab w:val="right" w:pos="8306"/>
            </w:tabs>
            <w:spacing w:after="0" w:line="240" w:lineRule="auto"/>
            <w:rPr>
              <w:rFonts w:ascii="Arial" w:eastAsia="Times New Roman" w:hAnsi="Arial" w:cs="Arial"/>
              <w:lang w:eastAsia="en-GB"/>
            </w:rPr>
          </w:pPr>
        </w:p>
      </w:tc>
      <w:tc>
        <w:tcPr>
          <w:tcW w:w="3509" w:type="dxa"/>
          <w:shd w:val="clear" w:color="auto" w:fill="auto"/>
          <w:vAlign w:val="bottom"/>
        </w:tcPr>
        <w:p w14:paraId="1BA47A94" w14:textId="77777777" w:rsidR="002D6782" w:rsidRPr="002D6782" w:rsidRDefault="002D6782" w:rsidP="002D6782">
          <w:pPr>
            <w:tabs>
              <w:tab w:val="center" w:pos="4153"/>
              <w:tab w:val="right" w:pos="8306"/>
            </w:tabs>
            <w:spacing w:before="60" w:after="0" w:line="240" w:lineRule="auto"/>
            <w:rPr>
              <w:rFonts w:ascii="Arial" w:eastAsia="Times New Roman" w:hAnsi="Arial" w:cs="Arial"/>
              <w:b/>
              <w:lang w:eastAsia="en-GB"/>
            </w:rPr>
          </w:pPr>
        </w:p>
      </w:tc>
    </w:tr>
  </w:tbl>
  <w:p w14:paraId="1BA47A96" w14:textId="77777777" w:rsidR="002D6782" w:rsidRDefault="002D6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521"/>
    <w:multiLevelType w:val="hybridMultilevel"/>
    <w:tmpl w:val="1326F5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6741E"/>
    <w:multiLevelType w:val="hybridMultilevel"/>
    <w:tmpl w:val="F15A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356B6D"/>
    <w:multiLevelType w:val="hybridMultilevel"/>
    <w:tmpl w:val="18943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60E3A9A"/>
    <w:multiLevelType w:val="hybridMultilevel"/>
    <w:tmpl w:val="B06C8FDA"/>
    <w:lvl w:ilvl="0" w:tplc="2060819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82"/>
    <w:rsid w:val="00074848"/>
    <w:rsid w:val="00100263"/>
    <w:rsid w:val="00187C32"/>
    <w:rsid w:val="00294A28"/>
    <w:rsid w:val="002D6782"/>
    <w:rsid w:val="00386192"/>
    <w:rsid w:val="003D18C6"/>
    <w:rsid w:val="00445C7E"/>
    <w:rsid w:val="004A1D36"/>
    <w:rsid w:val="004B4429"/>
    <w:rsid w:val="0052372F"/>
    <w:rsid w:val="00561503"/>
    <w:rsid w:val="005803A6"/>
    <w:rsid w:val="00585E48"/>
    <w:rsid w:val="00614464"/>
    <w:rsid w:val="00833B4B"/>
    <w:rsid w:val="00C2125F"/>
    <w:rsid w:val="00D00D94"/>
    <w:rsid w:val="00E32C31"/>
    <w:rsid w:val="00F946A5"/>
    <w:rsid w:val="00F9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782"/>
    <w:rPr>
      <w:color w:val="0000FF"/>
      <w:u w:val="single"/>
    </w:rPr>
  </w:style>
  <w:style w:type="paragraph" w:styleId="FootnoteText">
    <w:name w:val="footnote text"/>
    <w:aliases w:val="RSK-FT,RSK-FT1,RSK-FT2,RSK-FT3,RSK-FT11,RSK-FT21,Harestanes Ref,RSK-FT4,RSK-FT12,RSK-FT22,Char"/>
    <w:basedOn w:val="Normal"/>
    <w:link w:val="FootnoteTextChar"/>
    <w:uiPriority w:val="99"/>
    <w:unhideWhenUsed/>
    <w:rsid w:val="002D6782"/>
    <w:pPr>
      <w:spacing w:after="0" w:line="240" w:lineRule="auto"/>
    </w:pPr>
    <w:rPr>
      <w:rFonts w:ascii="Calibri" w:eastAsia="Calibri" w:hAnsi="Calibri" w:cs="Times New Roman"/>
      <w:sz w:val="20"/>
      <w:szCs w:val="20"/>
    </w:rPr>
  </w:style>
  <w:style w:type="character" w:customStyle="1" w:styleId="FootnoteTextChar">
    <w:name w:val="Footnote Text Char"/>
    <w:aliases w:val="RSK-FT Char,RSK-FT1 Char,RSK-FT2 Char,RSK-FT3 Char,RSK-FT11 Char,RSK-FT21 Char,Harestanes Ref Char,RSK-FT4 Char,RSK-FT12 Char,RSK-FT22 Char,Char Char"/>
    <w:basedOn w:val="DefaultParagraphFont"/>
    <w:link w:val="FootnoteText"/>
    <w:uiPriority w:val="99"/>
    <w:rsid w:val="002D6782"/>
    <w:rPr>
      <w:rFonts w:ascii="Calibri" w:eastAsia="Calibri" w:hAnsi="Calibri" w:cs="Times New Roman"/>
      <w:sz w:val="20"/>
      <w:szCs w:val="20"/>
    </w:rPr>
  </w:style>
  <w:style w:type="character" w:styleId="FootnoteReference">
    <w:name w:val="footnote reference"/>
    <w:aliases w:val="number"/>
    <w:uiPriority w:val="99"/>
    <w:unhideWhenUsed/>
    <w:rsid w:val="002D6782"/>
    <w:rPr>
      <w:vertAlign w:val="superscript"/>
    </w:rPr>
  </w:style>
  <w:style w:type="paragraph" w:styleId="ListParagraph">
    <w:name w:val="List Paragraph"/>
    <w:basedOn w:val="Normal"/>
    <w:uiPriority w:val="34"/>
    <w:qFormat/>
    <w:rsid w:val="002D6782"/>
    <w:pPr>
      <w:spacing w:after="0" w:line="240" w:lineRule="auto"/>
      <w:ind w:left="720"/>
    </w:pPr>
    <w:rPr>
      <w:rFonts w:ascii="Frutiger 45 Light" w:eastAsia="Times New Roman" w:hAnsi="Frutiger 45 Light" w:cs="Times New Roman"/>
      <w:szCs w:val="20"/>
      <w:lang w:eastAsia="en-GB"/>
    </w:rPr>
  </w:style>
  <w:style w:type="paragraph" w:styleId="PlainText">
    <w:name w:val="Plain Text"/>
    <w:basedOn w:val="Normal"/>
    <w:link w:val="PlainTextChar"/>
    <w:uiPriority w:val="99"/>
    <w:unhideWhenUsed/>
    <w:rsid w:val="002D6782"/>
    <w:pPr>
      <w:spacing w:after="0" w:line="240" w:lineRule="auto"/>
    </w:pPr>
    <w:rPr>
      <w:rFonts w:ascii="Arial" w:eastAsia="Calibri" w:hAnsi="Arial" w:cs="Consolas"/>
      <w:szCs w:val="21"/>
    </w:rPr>
  </w:style>
  <w:style w:type="character" w:customStyle="1" w:styleId="PlainTextChar">
    <w:name w:val="Plain Text Char"/>
    <w:basedOn w:val="DefaultParagraphFont"/>
    <w:link w:val="PlainText"/>
    <w:uiPriority w:val="99"/>
    <w:rsid w:val="002D6782"/>
    <w:rPr>
      <w:rFonts w:ascii="Arial" w:eastAsia="Calibri" w:hAnsi="Arial" w:cs="Consolas"/>
      <w:szCs w:val="21"/>
    </w:rPr>
  </w:style>
  <w:style w:type="paragraph" w:styleId="EndnoteText">
    <w:name w:val="endnote text"/>
    <w:basedOn w:val="Normal"/>
    <w:link w:val="EndnoteTextChar"/>
    <w:unhideWhenUsed/>
    <w:rsid w:val="002D6782"/>
    <w:pPr>
      <w:spacing w:after="0" w:line="240" w:lineRule="auto"/>
    </w:pPr>
    <w:rPr>
      <w:rFonts w:ascii="Officina Sans ITC TT" w:eastAsia="Times New Roman" w:hAnsi="Officina Sans ITC TT" w:cs="Times New Roman"/>
      <w:sz w:val="20"/>
      <w:szCs w:val="20"/>
    </w:rPr>
  </w:style>
  <w:style w:type="character" w:customStyle="1" w:styleId="EndnoteTextChar">
    <w:name w:val="Endnote Text Char"/>
    <w:basedOn w:val="DefaultParagraphFont"/>
    <w:link w:val="EndnoteText"/>
    <w:rsid w:val="002D6782"/>
    <w:rPr>
      <w:rFonts w:ascii="Officina Sans ITC TT" w:eastAsia="Times New Roman" w:hAnsi="Officina Sans ITC TT" w:cs="Times New Roman"/>
      <w:sz w:val="20"/>
      <w:szCs w:val="20"/>
    </w:rPr>
  </w:style>
  <w:style w:type="paragraph" w:styleId="BalloonText">
    <w:name w:val="Balloon Text"/>
    <w:basedOn w:val="Normal"/>
    <w:link w:val="BalloonTextChar"/>
    <w:uiPriority w:val="99"/>
    <w:semiHidden/>
    <w:unhideWhenUsed/>
    <w:rsid w:val="002D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82"/>
    <w:rPr>
      <w:rFonts w:ascii="Tahoma" w:hAnsi="Tahoma" w:cs="Tahoma"/>
      <w:sz w:val="16"/>
      <w:szCs w:val="16"/>
    </w:rPr>
  </w:style>
  <w:style w:type="paragraph" w:styleId="Header">
    <w:name w:val="header"/>
    <w:basedOn w:val="Normal"/>
    <w:link w:val="HeaderChar"/>
    <w:uiPriority w:val="99"/>
    <w:unhideWhenUsed/>
    <w:rsid w:val="002D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782"/>
  </w:style>
  <w:style w:type="paragraph" w:styleId="Footer">
    <w:name w:val="footer"/>
    <w:basedOn w:val="Normal"/>
    <w:link w:val="FooterChar"/>
    <w:uiPriority w:val="99"/>
    <w:unhideWhenUsed/>
    <w:rsid w:val="002D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782"/>
    <w:rPr>
      <w:color w:val="0000FF"/>
      <w:u w:val="single"/>
    </w:rPr>
  </w:style>
  <w:style w:type="paragraph" w:styleId="FootnoteText">
    <w:name w:val="footnote text"/>
    <w:aliases w:val="RSK-FT,RSK-FT1,RSK-FT2,RSK-FT3,RSK-FT11,RSK-FT21,Harestanes Ref,RSK-FT4,RSK-FT12,RSK-FT22,Char"/>
    <w:basedOn w:val="Normal"/>
    <w:link w:val="FootnoteTextChar"/>
    <w:uiPriority w:val="99"/>
    <w:unhideWhenUsed/>
    <w:rsid w:val="002D6782"/>
    <w:pPr>
      <w:spacing w:after="0" w:line="240" w:lineRule="auto"/>
    </w:pPr>
    <w:rPr>
      <w:rFonts w:ascii="Calibri" w:eastAsia="Calibri" w:hAnsi="Calibri" w:cs="Times New Roman"/>
      <w:sz w:val="20"/>
      <w:szCs w:val="20"/>
    </w:rPr>
  </w:style>
  <w:style w:type="character" w:customStyle="1" w:styleId="FootnoteTextChar">
    <w:name w:val="Footnote Text Char"/>
    <w:aliases w:val="RSK-FT Char,RSK-FT1 Char,RSK-FT2 Char,RSK-FT3 Char,RSK-FT11 Char,RSK-FT21 Char,Harestanes Ref Char,RSK-FT4 Char,RSK-FT12 Char,RSK-FT22 Char,Char Char"/>
    <w:basedOn w:val="DefaultParagraphFont"/>
    <w:link w:val="FootnoteText"/>
    <w:uiPriority w:val="99"/>
    <w:rsid w:val="002D6782"/>
    <w:rPr>
      <w:rFonts w:ascii="Calibri" w:eastAsia="Calibri" w:hAnsi="Calibri" w:cs="Times New Roman"/>
      <w:sz w:val="20"/>
      <w:szCs w:val="20"/>
    </w:rPr>
  </w:style>
  <w:style w:type="character" w:styleId="FootnoteReference">
    <w:name w:val="footnote reference"/>
    <w:aliases w:val="number"/>
    <w:uiPriority w:val="99"/>
    <w:unhideWhenUsed/>
    <w:rsid w:val="002D6782"/>
    <w:rPr>
      <w:vertAlign w:val="superscript"/>
    </w:rPr>
  </w:style>
  <w:style w:type="paragraph" w:styleId="ListParagraph">
    <w:name w:val="List Paragraph"/>
    <w:basedOn w:val="Normal"/>
    <w:uiPriority w:val="34"/>
    <w:qFormat/>
    <w:rsid w:val="002D6782"/>
    <w:pPr>
      <w:spacing w:after="0" w:line="240" w:lineRule="auto"/>
      <w:ind w:left="720"/>
    </w:pPr>
    <w:rPr>
      <w:rFonts w:ascii="Frutiger 45 Light" w:eastAsia="Times New Roman" w:hAnsi="Frutiger 45 Light" w:cs="Times New Roman"/>
      <w:szCs w:val="20"/>
      <w:lang w:eastAsia="en-GB"/>
    </w:rPr>
  </w:style>
  <w:style w:type="paragraph" w:styleId="PlainText">
    <w:name w:val="Plain Text"/>
    <w:basedOn w:val="Normal"/>
    <w:link w:val="PlainTextChar"/>
    <w:uiPriority w:val="99"/>
    <w:unhideWhenUsed/>
    <w:rsid w:val="002D6782"/>
    <w:pPr>
      <w:spacing w:after="0" w:line="240" w:lineRule="auto"/>
    </w:pPr>
    <w:rPr>
      <w:rFonts w:ascii="Arial" w:eastAsia="Calibri" w:hAnsi="Arial" w:cs="Consolas"/>
      <w:szCs w:val="21"/>
    </w:rPr>
  </w:style>
  <w:style w:type="character" w:customStyle="1" w:styleId="PlainTextChar">
    <w:name w:val="Plain Text Char"/>
    <w:basedOn w:val="DefaultParagraphFont"/>
    <w:link w:val="PlainText"/>
    <w:uiPriority w:val="99"/>
    <w:rsid w:val="002D6782"/>
    <w:rPr>
      <w:rFonts w:ascii="Arial" w:eastAsia="Calibri" w:hAnsi="Arial" w:cs="Consolas"/>
      <w:szCs w:val="21"/>
    </w:rPr>
  </w:style>
  <w:style w:type="paragraph" w:styleId="EndnoteText">
    <w:name w:val="endnote text"/>
    <w:basedOn w:val="Normal"/>
    <w:link w:val="EndnoteTextChar"/>
    <w:unhideWhenUsed/>
    <w:rsid w:val="002D6782"/>
    <w:pPr>
      <w:spacing w:after="0" w:line="240" w:lineRule="auto"/>
    </w:pPr>
    <w:rPr>
      <w:rFonts w:ascii="Officina Sans ITC TT" w:eastAsia="Times New Roman" w:hAnsi="Officina Sans ITC TT" w:cs="Times New Roman"/>
      <w:sz w:val="20"/>
      <w:szCs w:val="20"/>
    </w:rPr>
  </w:style>
  <w:style w:type="character" w:customStyle="1" w:styleId="EndnoteTextChar">
    <w:name w:val="Endnote Text Char"/>
    <w:basedOn w:val="DefaultParagraphFont"/>
    <w:link w:val="EndnoteText"/>
    <w:rsid w:val="002D6782"/>
    <w:rPr>
      <w:rFonts w:ascii="Officina Sans ITC TT" w:eastAsia="Times New Roman" w:hAnsi="Officina Sans ITC TT" w:cs="Times New Roman"/>
      <w:sz w:val="20"/>
      <w:szCs w:val="20"/>
    </w:rPr>
  </w:style>
  <w:style w:type="paragraph" w:styleId="BalloonText">
    <w:name w:val="Balloon Text"/>
    <w:basedOn w:val="Normal"/>
    <w:link w:val="BalloonTextChar"/>
    <w:uiPriority w:val="99"/>
    <w:semiHidden/>
    <w:unhideWhenUsed/>
    <w:rsid w:val="002D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82"/>
    <w:rPr>
      <w:rFonts w:ascii="Tahoma" w:hAnsi="Tahoma" w:cs="Tahoma"/>
      <w:sz w:val="16"/>
      <w:szCs w:val="16"/>
    </w:rPr>
  </w:style>
  <w:style w:type="paragraph" w:styleId="Header">
    <w:name w:val="header"/>
    <w:basedOn w:val="Normal"/>
    <w:link w:val="HeaderChar"/>
    <w:uiPriority w:val="99"/>
    <w:unhideWhenUsed/>
    <w:rsid w:val="002D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782"/>
  </w:style>
  <w:style w:type="paragraph" w:styleId="Footer">
    <w:name w:val="footer"/>
    <w:basedOn w:val="Normal"/>
    <w:link w:val="FooterChar"/>
    <w:uiPriority w:val="99"/>
    <w:unhideWhenUsed/>
    <w:rsid w:val="002D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mccartney@loc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ocal.gov.uk/web/guest/media-releases/-/journal_content/56/10180/6583322/NEWS" TargetMode="External"/><Relationship Id="rId2" Type="http://schemas.openxmlformats.org/officeDocument/2006/relationships/hyperlink" Target="http://www.local.gov.uk/web/guest/welfare-reform/-/journal_content/56/10180/6031824/ARTICLE" TargetMode="External"/><Relationship Id="rId1" Type="http://schemas.openxmlformats.org/officeDocument/2006/relationships/hyperlink" Target="https://www.gov.uk/government/uploads/system/uploads/attachment_data/file/370763/local-welfare-provision-review-nov-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8148-67D7-4C94-AF8A-8796C1A3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18</cp:revision>
  <dcterms:created xsi:type="dcterms:W3CDTF">2014-12-19T15:06:00Z</dcterms:created>
  <dcterms:modified xsi:type="dcterms:W3CDTF">2014-12-30T10:33:00Z</dcterms:modified>
</cp:coreProperties>
</file>

<file path=docProps/custom.xml><?xml version="1.0" encoding="utf-8"?>
<op:Properties xmlns:op="http://schemas.openxmlformats.org/officeDocument/2006/custom-properties"/>
</file>